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90582" w14:textId="77777777" w:rsidR="0030403C" w:rsidRDefault="00A268F8">
      <w:pPr>
        <w:jc w:val="center"/>
        <w:rPr>
          <w:rFonts w:hint="eastAsia"/>
        </w:rPr>
      </w:pPr>
      <w:r>
        <w:rPr>
          <w:noProof/>
        </w:rPr>
        <w:drawing>
          <wp:inline distT="0" distB="0" distL="0" distR="0" wp14:anchorId="35A07EC5" wp14:editId="692C2507">
            <wp:extent cx="3780000" cy="1174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780000" cy="1174090"/>
                    </a:xfrm>
                    <a:prstGeom prst="rect">
                      <a:avLst/>
                    </a:prstGeom>
                  </pic:spPr>
                </pic:pic>
              </a:graphicData>
            </a:graphic>
          </wp:inline>
        </w:drawing>
      </w:r>
    </w:p>
    <w:p w14:paraId="7D3507DE" w14:textId="7853FF88" w:rsidR="0030403C" w:rsidRDefault="00A268F8">
      <w:r>
        <w:br/>
      </w:r>
    </w:p>
    <w:p w14:paraId="497EED02" w14:textId="25572F15" w:rsidR="006D516B" w:rsidRDefault="006D516B"/>
    <w:p w14:paraId="1CB60BCD" w14:textId="0EEF82C7" w:rsidR="006D516B" w:rsidRDefault="006D516B"/>
    <w:p w14:paraId="1578D4D4" w14:textId="578975E6" w:rsidR="006D516B" w:rsidRDefault="006D516B"/>
    <w:p w14:paraId="4F7CCAD3" w14:textId="77777777" w:rsidR="006D516B" w:rsidRDefault="006D516B">
      <w:pPr>
        <w:rPr>
          <w:rFonts w:hint="eastAsia"/>
        </w:rPr>
      </w:pPr>
    </w:p>
    <w:p w14:paraId="767BBFF7" w14:textId="77777777" w:rsidR="0030403C" w:rsidRPr="00A268F8" w:rsidRDefault="00A268F8">
      <w:pPr>
        <w:jc w:val="center"/>
        <w:rPr>
          <w:rFonts w:hint="eastAsia"/>
          <w:color w:val="31849B" w:themeColor="accent5" w:themeShade="BF"/>
        </w:rPr>
      </w:pPr>
      <w:r w:rsidRPr="00A268F8">
        <w:rPr>
          <w:b/>
          <w:color w:val="31849B" w:themeColor="accent5" w:themeShade="BF"/>
          <w:sz w:val="68"/>
        </w:rPr>
        <w:t>MEMORIA</w:t>
      </w:r>
    </w:p>
    <w:p w14:paraId="04804B5D" w14:textId="77777777" w:rsidR="0030403C" w:rsidRPr="00FE0669" w:rsidRDefault="00A268F8">
      <w:pPr>
        <w:jc w:val="center"/>
        <w:rPr>
          <w:rFonts w:hint="eastAsia"/>
          <w:color w:val="31849B" w:themeColor="accent5" w:themeShade="BF"/>
        </w:rPr>
      </w:pPr>
      <w:r w:rsidRPr="00FE0669">
        <w:rPr>
          <w:b/>
          <w:color w:val="31849B" w:themeColor="accent5" w:themeShade="BF"/>
          <w:sz w:val="92"/>
        </w:rPr>
        <w:t>2025</w:t>
      </w:r>
    </w:p>
    <w:p w14:paraId="48D7E02A" w14:textId="77777777" w:rsidR="0030403C" w:rsidRDefault="00A268F8">
      <w:pPr>
        <w:jc w:val="center"/>
        <w:rPr>
          <w:rFonts w:hint="eastAsia"/>
        </w:rPr>
      </w:pPr>
      <w:r>
        <w:rPr>
          <w:b/>
          <w:color w:val="4A4A4A"/>
          <w:sz w:val="30"/>
        </w:rPr>
        <w:t>FUNDACIÓN PARQUE CIENTÍFICO Y TECNOLÓGICO</w:t>
      </w:r>
      <w:r>
        <w:rPr>
          <w:b/>
          <w:color w:val="4A4A4A"/>
          <w:sz w:val="30"/>
        </w:rPr>
        <w:br/>
        <w:t>DE CASTILLA-LA MANCHA</w:t>
      </w:r>
    </w:p>
    <w:p w14:paraId="1CBF79A3" w14:textId="77777777" w:rsidR="0030403C" w:rsidRDefault="00A268F8">
      <w:pPr>
        <w:spacing w:before="560"/>
        <w:jc w:val="center"/>
        <w:rPr>
          <w:rFonts w:hint="eastAsia"/>
        </w:rPr>
      </w:pPr>
      <w:r>
        <w:rPr>
          <w:i/>
          <w:sz w:val="24"/>
        </w:rPr>
        <w:t>Memoria anual de actividades</w:t>
      </w:r>
    </w:p>
    <w:p w14:paraId="78AA158A" w14:textId="77777777" w:rsidR="0030403C" w:rsidRDefault="00A268F8">
      <w:pPr>
        <w:rPr>
          <w:rFonts w:hint="eastAsia"/>
        </w:rPr>
      </w:pPr>
      <w:r>
        <w:br w:type="page"/>
      </w:r>
    </w:p>
    <w:p w14:paraId="56BD8837" w14:textId="77777777" w:rsidR="006D516B" w:rsidRDefault="006D516B">
      <w:pPr>
        <w:pStyle w:val="Ttulo1"/>
      </w:pPr>
    </w:p>
    <w:p w14:paraId="178DC95A" w14:textId="77777777" w:rsidR="006D516B" w:rsidRDefault="006D516B">
      <w:pPr>
        <w:pStyle w:val="Ttulo1"/>
      </w:pPr>
    </w:p>
    <w:p w14:paraId="3009393C" w14:textId="401F9B18" w:rsidR="0030403C" w:rsidRPr="00FE0669" w:rsidRDefault="00A268F8">
      <w:pPr>
        <w:pStyle w:val="Ttulo1"/>
        <w:rPr>
          <w:color w:val="31849B" w:themeColor="accent5" w:themeShade="BF"/>
        </w:rPr>
      </w:pPr>
      <w:proofErr w:type="spellStart"/>
      <w:r w:rsidRPr="00FE0669">
        <w:rPr>
          <w:color w:val="31849B" w:themeColor="accent5" w:themeShade="BF"/>
        </w:rPr>
        <w:t>Índice</w:t>
      </w:r>
      <w:proofErr w:type="spellEnd"/>
    </w:p>
    <w:p w14:paraId="6CE56E10" w14:textId="77777777" w:rsidR="0030403C" w:rsidRDefault="00A268F8">
      <w:pPr>
        <w:rPr>
          <w:rFonts w:hint="eastAsia"/>
        </w:rPr>
      </w:pPr>
      <w:r>
        <w:t>1. Introducción y resumen del ejercicio</w:t>
      </w:r>
    </w:p>
    <w:p w14:paraId="38BC4FA7" w14:textId="77777777" w:rsidR="0030403C" w:rsidRDefault="00A268F8">
      <w:pPr>
        <w:rPr>
          <w:rFonts w:hint="eastAsia"/>
        </w:rPr>
      </w:pPr>
      <w:r>
        <w:t>2. La Fundación y el Parque Científico y Tecnológico de Castilla-La Mancha</w:t>
      </w:r>
    </w:p>
    <w:p w14:paraId="2B488C9D" w14:textId="77777777" w:rsidR="0030403C" w:rsidRDefault="00A268F8">
      <w:pPr>
        <w:rPr>
          <w:rFonts w:hint="eastAsia"/>
        </w:rPr>
      </w:pPr>
      <w:r>
        <w:t xml:space="preserve">3. </w:t>
      </w:r>
      <w:r>
        <w:t>Infraestructuras y capacidades del PCTCLM</w:t>
      </w:r>
    </w:p>
    <w:p w14:paraId="19473FCD" w14:textId="77777777" w:rsidR="0030403C" w:rsidRDefault="00A268F8">
      <w:pPr>
        <w:rPr>
          <w:rFonts w:hint="eastAsia"/>
        </w:rPr>
      </w:pPr>
      <w:r>
        <w:t>4. Ecosistema empresarial y áreas de especialización</w:t>
      </w:r>
    </w:p>
    <w:p w14:paraId="5D674A00" w14:textId="77777777" w:rsidR="0030403C" w:rsidRDefault="00A268F8">
      <w:pPr>
        <w:rPr>
          <w:rFonts w:hint="eastAsia"/>
        </w:rPr>
      </w:pPr>
      <w:r>
        <w:t>5. Crecimiento, infraestructuras y servicios en 2025</w:t>
      </w:r>
    </w:p>
    <w:p w14:paraId="5E8EDA7C" w14:textId="77777777" w:rsidR="0030403C" w:rsidRDefault="00A268F8">
      <w:pPr>
        <w:rPr>
          <w:rFonts w:hint="eastAsia"/>
        </w:rPr>
      </w:pPr>
      <w:r>
        <w:t>6. Empresas, emprendimiento y apoyo al ecosistema</w:t>
      </w:r>
    </w:p>
    <w:p w14:paraId="2960A3E2" w14:textId="77777777" w:rsidR="0030403C" w:rsidRDefault="00A268F8">
      <w:pPr>
        <w:rPr>
          <w:rFonts w:hint="eastAsia"/>
        </w:rPr>
      </w:pPr>
      <w:r>
        <w:t>7. Investigación, transferencia y colaboración universitar</w:t>
      </w:r>
      <w:r>
        <w:t>ia</w:t>
      </w:r>
    </w:p>
    <w:p w14:paraId="7B7BF0F6" w14:textId="77777777" w:rsidR="0030403C" w:rsidRDefault="00A268F8">
      <w:pPr>
        <w:rPr>
          <w:rFonts w:hint="eastAsia"/>
        </w:rPr>
      </w:pPr>
      <w:r>
        <w:t>8. Especialización aeroespacial y candidatura ESA BIC</w:t>
      </w:r>
    </w:p>
    <w:p w14:paraId="5CD801BB" w14:textId="77777777" w:rsidR="0030403C" w:rsidRDefault="00A268F8">
      <w:pPr>
        <w:rPr>
          <w:rFonts w:hint="eastAsia"/>
        </w:rPr>
      </w:pPr>
      <w:r>
        <w:t>9. Tecnologías disruptivas y transformación digital</w:t>
      </w:r>
    </w:p>
    <w:p w14:paraId="65C74038" w14:textId="77777777" w:rsidR="0030403C" w:rsidRDefault="00A268F8">
      <w:pPr>
        <w:rPr>
          <w:rFonts w:hint="eastAsia"/>
        </w:rPr>
      </w:pPr>
      <w:r>
        <w:t>10. Divulgación científica, talento y formación</w:t>
      </w:r>
    </w:p>
    <w:p w14:paraId="27F783A8" w14:textId="77777777" w:rsidR="0030403C" w:rsidRDefault="00A268F8">
      <w:pPr>
        <w:rPr>
          <w:rFonts w:hint="eastAsia"/>
        </w:rPr>
      </w:pPr>
      <w:r>
        <w:t>11. Sostenibilidad, bienestar y comunidad PCTCLM</w:t>
      </w:r>
    </w:p>
    <w:p w14:paraId="5D82794E" w14:textId="77777777" w:rsidR="0030403C" w:rsidRDefault="00A268F8">
      <w:pPr>
        <w:rPr>
          <w:rFonts w:hint="eastAsia"/>
        </w:rPr>
      </w:pPr>
      <w:r>
        <w:t>12. Promoción, redes y posicionamiento institucion</w:t>
      </w:r>
      <w:r>
        <w:t>al</w:t>
      </w:r>
    </w:p>
    <w:p w14:paraId="717484CB" w14:textId="77777777" w:rsidR="0030403C" w:rsidRDefault="00A268F8">
      <w:pPr>
        <w:rPr>
          <w:rFonts w:hint="eastAsia"/>
        </w:rPr>
      </w:pPr>
      <w:r>
        <w:t>13. Comunicación y difusión</w:t>
      </w:r>
    </w:p>
    <w:p w14:paraId="7E64A614" w14:textId="2BA32E4C" w:rsidR="0030403C" w:rsidRDefault="00A268F8">
      <w:pPr>
        <w:rPr>
          <w:rFonts w:hint="eastAsia"/>
        </w:rPr>
      </w:pPr>
      <w:r>
        <w:t>1</w:t>
      </w:r>
      <w:r w:rsidR="0049168D">
        <w:t>4</w:t>
      </w:r>
      <w:r>
        <w:t>. Balance y proyección de futuro</w:t>
      </w:r>
    </w:p>
    <w:p w14:paraId="76443E8E" w14:textId="77777777" w:rsidR="0030403C" w:rsidRDefault="00A268F8">
      <w:pPr>
        <w:rPr>
          <w:rFonts w:hint="eastAsia"/>
        </w:rPr>
      </w:pPr>
      <w:r>
        <w:br w:type="page"/>
      </w:r>
    </w:p>
    <w:p w14:paraId="3320C001" w14:textId="66B1801C" w:rsidR="0030403C" w:rsidRPr="00FE0669" w:rsidRDefault="00A268F8" w:rsidP="006D516B">
      <w:pPr>
        <w:pStyle w:val="Ttulo1"/>
        <w:numPr>
          <w:ilvl w:val="0"/>
          <w:numId w:val="10"/>
        </w:numPr>
        <w:rPr>
          <w:color w:val="31849B" w:themeColor="accent5" w:themeShade="BF"/>
        </w:rPr>
      </w:pPr>
      <w:proofErr w:type="spellStart"/>
      <w:r w:rsidRPr="00FE0669">
        <w:rPr>
          <w:color w:val="31849B" w:themeColor="accent5" w:themeShade="BF"/>
        </w:rPr>
        <w:lastRenderedPageBreak/>
        <w:t>Introducción</w:t>
      </w:r>
      <w:proofErr w:type="spellEnd"/>
      <w:r w:rsidRPr="00FE0669">
        <w:rPr>
          <w:color w:val="31849B" w:themeColor="accent5" w:themeShade="BF"/>
        </w:rPr>
        <w:t xml:space="preserve"> y </w:t>
      </w:r>
      <w:proofErr w:type="spellStart"/>
      <w:r w:rsidRPr="00FE0669">
        <w:rPr>
          <w:color w:val="31849B" w:themeColor="accent5" w:themeShade="BF"/>
        </w:rPr>
        <w:t>resumen</w:t>
      </w:r>
      <w:proofErr w:type="spellEnd"/>
      <w:r w:rsidRPr="00FE0669">
        <w:rPr>
          <w:color w:val="31849B" w:themeColor="accent5" w:themeShade="BF"/>
        </w:rPr>
        <w:t xml:space="preserve"> del </w:t>
      </w:r>
      <w:proofErr w:type="spellStart"/>
      <w:r w:rsidRPr="00FE0669">
        <w:rPr>
          <w:color w:val="31849B" w:themeColor="accent5" w:themeShade="BF"/>
        </w:rPr>
        <w:t>ejercicio</w:t>
      </w:r>
      <w:proofErr w:type="spellEnd"/>
    </w:p>
    <w:p w14:paraId="6A7A08D3" w14:textId="77777777" w:rsidR="006D516B" w:rsidRPr="006D516B" w:rsidRDefault="006D516B" w:rsidP="006D516B"/>
    <w:p w14:paraId="0A72A7EE" w14:textId="77777777" w:rsidR="0030403C" w:rsidRDefault="00A268F8" w:rsidP="006D516B">
      <w:pPr>
        <w:jc w:val="both"/>
        <w:rPr>
          <w:rFonts w:hint="eastAsia"/>
        </w:rPr>
      </w:pPr>
      <w:r>
        <w:t xml:space="preserve">Durante 2025, la Fundación Parque Científico y Tecnológico de Castilla-La Mancha continuó desarrollando su </w:t>
      </w:r>
      <w:r>
        <w:t>función como espacio de conexión entre empresas, universidad, investigación, administraciones y sociedad, reforzando su papel dentro del ecosistema regional de innovación y transferencia de conocimiento.</w:t>
      </w:r>
    </w:p>
    <w:p w14:paraId="6BA10676" w14:textId="77777777" w:rsidR="0030403C" w:rsidRDefault="00A268F8" w:rsidP="006D516B">
      <w:pPr>
        <w:jc w:val="both"/>
        <w:rPr>
          <w:rFonts w:hint="eastAsia"/>
        </w:rPr>
      </w:pPr>
      <w:r>
        <w:t>El ejercicio estuvo marcado por el crecimiento del P</w:t>
      </w:r>
      <w:r>
        <w:t xml:space="preserve">arque, la mejora de sus infraestructuras y servicios, la consolidación de la colaboración con la Universidad de Castilla-La Mancha y otras redes científicas, el impulso a la transferencia tecnológica y una especialización creciente en ámbitos estratégicos </w:t>
      </w:r>
      <w:r>
        <w:t>como el aeroespacial, la biotecnología, la inteligencia artificial, la computación cuántica, la ciberseguridad y los datos.</w:t>
      </w:r>
    </w:p>
    <w:p w14:paraId="1B81D521" w14:textId="6E3CB126" w:rsidR="0030403C" w:rsidRDefault="00A268F8" w:rsidP="006D516B">
      <w:pPr>
        <w:jc w:val="both"/>
      </w:pPr>
      <w:r>
        <w:t xml:space="preserve">Entre los principales hitos del año destacan el anuncio de la ampliación del PCTCLM mediante un nuevo edificio, la </w:t>
      </w:r>
      <w:r>
        <w:t xml:space="preserve">inversión regional asociada </w:t>
      </w:r>
      <w:proofErr w:type="gramStart"/>
      <w:r>
        <w:t>a</w:t>
      </w:r>
      <w:proofErr w:type="gramEnd"/>
      <w:r>
        <w:t xml:space="preserve"> esta actuación, la participación en la alianza europea COLOURS, la segunda edición de TransformaCLM, el fortalecimiento de las capacidades científicas y tecnológicas del Parque y el avance de la candidatura para acoger un ESA </w:t>
      </w:r>
      <w:r>
        <w:t>Business Incubation Centre (ESA BIC).</w:t>
      </w:r>
    </w:p>
    <w:p w14:paraId="2964F02C" w14:textId="77777777" w:rsidR="006C4427" w:rsidRDefault="006C4427" w:rsidP="006D516B">
      <w:pPr>
        <w:jc w:val="both"/>
      </w:pPr>
    </w:p>
    <w:p w14:paraId="51923B5F" w14:textId="34302EE2" w:rsidR="0030403C" w:rsidRDefault="00A268F8">
      <w:pPr>
        <w:pStyle w:val="Ttulo2"/>
      </w:pPr>
      <w:proofErr w:type="spellStart"/>
      <w:r>
        <w:t>Principales</w:t>
      </w:r>
      <w:proofErr w:type="spellEnd"/>
      <w:r>
        <w:t xml:space="preserve"> </w:t>
      </w:r>
      <w:proofErr w:type="spellStart"/>
      <w:r>
        <w:t>ejes</w:t>
      </w:r>
      <w:proofErr w:type="spellEnd"/>
      <w:r>
        <w:t xml:space="preserve"> del </w:t>
      </w:r>
      <w:proofErr w:type="spellStart"/>
      <w:r>
        <w:t>año</w:t>
      </w:r>
      <w:proofErr w:type="spellEnd"/>
    </w:p>
    <w:p w14:paraId="71FC9E26" w14:textId="77777777" w:rsidR="0030403C" w:rsidRDefault="00A268F8">
      <w:pPr>
        <w:pStyle w:val="Listaconvietas"/>
        <w:rPr>
          <w:rFonts w:hint="eastAsia"/>
        </w:rPr>
      </w:pPr>
      <w:proofErr w:type="spellStart"/>
      <w:r>
        <w:rPr>
          <w:b/>
        </w:rPr>
        <w:t>Crecimiento</w:t>
      </w:r>
      <w:proofErr w:type="spellEnd"/>
      <w:r>
        <w:rPr>
          <w:b/>
        </w:rPr>
        <w:t xml:space="preserve"> e </w:t>
      </w:r>
      <w:proofErr w:type="spellStart"/>
      <w:r>
        <w:rPr>
          <w:b/>
        </w:rPr>
        <w:t>infraestructuras</w:t>
      </w:r>
      <w:proofErr w:type="spellEnd"/>
      <w:r>
        <w:rPr>
          <w:b/>
        </w:rPr>
        <w:t xml:space="preserve">: </w:t>
      </w:r>
      <w:proofErr w:type="spellStart"/>
      <w:r>
        <w:t>Ampliación</w:t>
      </w:r>
      <w:proofErr w:type="spellEnd"/>
      <w:r>
        <w:t xml:space="preserve"> del Parque, mejora de instalacio</w:t>
      </w:r>
      <w:r>
        <w:t>nes, CPD, equipamiento científico y nuevos servicios.</w:t>
      </w:r>
    </w:p>
    <w:p w14:paraId="034C1490" w14:textId="77777777" w:rsidR="0030403C" w:rsidRDefault="00A268F8">
      <w:pPr>
        <w:pStyle w:val="Listaconvietas"/>
        <w:rPr>
          <w:rFonts w:hint="eastAsia"/>
        </w:rPr>
      </w:pPr>
      <w:r>
        <w:rPr>
          <w:b/>
        </w:rPr>
        <w:t xml:space="preserve">Aeroespacial y ESA BIC: </w:t>
      </w:r>
      <w:r>
        <w:t>Participación en agendas, foros, PERTE Aeroespacial, Clúster regional y desarrollo de la candidatura ESA BIC.</w:t>
      </w:r>
    </w:p>
    <w:p w14:paraId="18BD9C6D" w14:textId="77777777" w:rsidR="0030403C" w:rsidRDefault="00A268F8">
      <w:pPr>
        <w:pStyle w:val="Listaconvietas"/>
        <w:rPr>
          <w:rFonts w:hint="eastAsia"/>
        </w:rPr>
      </w:pPr>
      <w:r>
        <w:rPr>
          <w:b/>
        </w:rPr>
        <w:t xml:space="preserve">Investigación y transferencia: </w:t>
      </w:r>
      <w:r>
        <w:t xml:space="preserve">Colaboración con UCLM, </w:t>
      </w:r>
      <w:r>
        <w:t>COLOURS, TransformaCLM, materiales avanzados, biotecnología y transferencia tecnológica.</w:t>
      </w:r>
    </w:p>
    <w:p w14:paraId="3D26B959" w14:textId="77777777" w:rsidR="0030403C" w:rsidRDefault="00A268F8">
      <w:pPr>
        <w:pStyle w:val="Listaconvietas"/>
        <w:rPr>
          <w:rFonts w:hint="eastAsia"/>
        </w:rPr>
      </w:pPr>
      <w:r>
        <w:rPr>
          <w:b/>
        </w:rPr>
        <w:t xml:space="preserve">Empresas y emprendimiento: </w:t>
      </w:r>
      <w:r>
        <w:t>Visibilidad empresarial, financiación, programas de apoyo, internacionalización y empleo cualificado.</w:t>
      </w:r>
    </w:p>
    <w:p w14:paraId="11A15B35" w14:textId="77777777" w:rsidR="0030403C" w:rsidRDefault="00A268F8">
      <w:pPr>
        <w:pStyle w:val="Listaconvietas"/>
        <w:rPr>
          <w:rFonts w:hint="eastAsia"/>
        </w:rPr>
      </w:pPr>
      <w:r>
        <w:rPr>
          <w:b/>
        </w:rPr>
        <w:t xml:space="preserve">Tecnologías disruptivas: </w:t>
      </w:r>
      <w:r>
        <w:t>IA, computaci</w:t>
      </w:r>
      <w:r>
        <w:t>ón cuántica, datos, ciberseguridad, robótica y digitalización.</w:t>
      </w:r>
    </w:p>
    <w:p w14:paraId="7634CBDB" w14:textId="77777777" w:rsidR="0030403C" w:rsidRDefault="00A268F8">
      <w:pPr>
        <w:pStyle w:val="Listaconvietas"/>
        <w:rPr>
          <w:rFonts w:hint="eastAsia"/>
        </w:rPr>
      </w:pPr>
      <w:r>
        <w:rPr>
          <w:b/>
        </w:rPr>
        <w:t xml:space="preserve">Divulgación, talento y sostenibilidad: </w:t>
      </w:r>
      <w:r>
        <w:t>Vocaciones STEAM, ciencia en femenino, formación, bienestar, movilidad eléctrica y transición ecológica.</w:t>
      </w:r>
    </w:p>
    <w:p w14:paraId="627D74F6" w14:textId="77777777" w:rsidR="0030403C" w:rsidRDefault="00A268F8">
      <w:pPr>
        <w:rPr>
          <w:rFonts w:hint="eastAsia"/>
        </w:rPr>
      </w:pPr>
      <w:r>
        <w:br w:type="page"/>
      </w:r>
    </w:p>
    <w:p w14:paraId="01FCEA7F" w14:textId="215911FB" w:rsidR="0030403C" w:rsidRPr="00FE0669" w:rsidRDefault="00A268F8" w:rsidP="006D516B">
      <w:pPr>
        <w:pStyle w:val="Ttulo1"/>
        <w:numPr>
          <w:ilvl w:val="0"/>
          <w:numId w:val="10"/>
        </w:numPr>
        <w:rPr>
          <w:color w:val="31849B" w:themeColor="accent5" w:themeShade="BF"/>
        </w:rPr>
      </w:pPr>
      <w:r w:rsidRPr="00FE0669">
        <w:rPr>
          <w:color w:val="31849B" w:themeColor="accent5" w:themeShade="BF"/>
        </w:rPr>
        <w:lastRenderedPageBreak/>
        <w:t xml:space="preserve">La Fundación y </w:t>
      </w:r>
      <w:proofErr w:type="spellStart"/>
      <w:r w:rsidRPr="00FE0669">
        <w:rPr>
          <w:color w:val="31849B" w:themeColor="accent5" w:themeShade="BF"/>
        </w:rPr>
        <w:t>el</w:t>
      </w:r>
      <w:proofErr w:type="spellEnd"/>
      <w:r w:rsidRPr="00FE0669">
        <w:rPr>
          <w:color w:val="31849B" w:themeColor="accent5" w:themeShade="BF"/>
        </w:rPr>
        <w:t xml:space="preserve"> Parque Científico y </w:t>
      </w:r>
      <w:proofErr w:type="spellStart"/>
      <w:r w:rsidRPr="00FE0669">
        <w:rPr>
          <w:color w:val="31849B" w:themeColor="accent5" w:themeShade="BF"/>
        </w:rPr>
        <w:t>Tecnol</w:t>
      </w:r>
      <w:r w:rsidRPr="00FE0669">
        <w:rPr>
          <w:color w:val="31849B" w:themeColor="accent5" w:themeShade="BF"/>
        </w:rPr>
        <w:t>ógico</w:t>
      </w:r>
      <w:proofErr w:type="spellEnd"/>
      <w:r w:rsidRPr="00FE0669">
        <w:rPr>
          <w:color w:val="31849B" w:themeColor="accent5" w:themeShade="BF"/>
        </w:rPr>
        <w:t xml:space="preserve"> de Castilla-La Mancha</w:t>
      </w:r>
    </w:p>
    <w:p w14:paraId="505D2B75" w14:textId="77777777" w:rsidR="006D516B" w:rsidRPr="006D516B" w:rsidRDefault="006D516B" w:rsidP="006D516B">
      <w:pPr>
        <w:pStyle w:val="Prrafodelista"/>
        <w:ind w:left="735"/>
      </w:pPr>
    </w:p>
    <w:p w14:paraId="5EBCB78B" w14:textId="77777777" w:rsidR="0030403C" w:rsidRDefault="00A268F8" w:rsidP="006D516B">
      <w:pPr>
        <w:jc w:val="both"/>
        <w:rPr>
          <w:rFonts w:hint="eastAsia"/>
        </w:rPr>
      </w:pPr>
      <w:r>
        <w:t>E</w:t>
      </w:r>
      <w:r>
        <w:t>l Parque Científico y Tecnológico de Castilla-La Mancha está gestionado por una Fundación del Sector Público creada para promover la construcción, explotación y gestión del Parque y contribuir al desarrollo científico, tecnológ</w:t>
      </w:r>
      <w:r>
        <w:t>ico, económico y social de Castilla-La Mancha.</w:t>
      </w:r>
    </w:p>
    <w:p w14:paraId="08DA2C30" w14:textId="77777777" w:rsidR="0030403C" w:rsidRDefault="00A268F8" w:rsidP="006D516B">
      <w:pPr>
        <w:jc w:val="both"/>
        <w:rPr>
          <w:rFonts w:hint="eastAsia"/>
        </w:rPr>
      </w:pPr>
      <w:r>
        <w:t>La Fundación nace el 19 de diciembre de 2014 como resultado de la fusión de las fundaciones que gestionaban los parques científicos y tecnológicos de Albacete y Guadalajara. Esta integración permitió articular</w:t>
      </w:r>
      <w:r>
        <w:t xml:space="preserve"> un proyecto de alcance regional y reforzar la colaboración entre administraciones, universidades, centros de investigación y empresas innovadoras.</w:t>
      </w:r>
    </w:p>
    <w:p w14:paraId="34DDEC01" w14:textId="6F6C9198" w:rsidR="0030403C" w:rsidRDefault="00A268F8" w:rsidP="006D516B">
      <w:pPr>
        <w:jc w:val="both"/>
      </w:pPr>
      <w:r>
        <w:t>La sede social de la entidad se encuentra en Toledo. En su Patronato están representadas la Junta de Comunid</w:t>
      </w:r>
      <w:r>
        <w:t xml:space="preserve">ades de Castilla-La Mancha, las Diputaciones Provinciales de Albacete y Guadalajara, los Ayuntamientos de Albacete y Guadalajara, la Universidad de Castilla-La Mancha y la Universidad de </w:t>
      </w:r>
      <w:proofErr w:type="spellStart"/>
      <w:r>
        <w:t>Alcalá</w:t>
      </w:r>
      <w:proofErr w:type="spellEnd"/>
      <w:r>
        <w:t>.</w:t>
      </w:r>
    </w:p>
    <w:p w14:paraId="331A7180" w14:textId="77777777" w:rsidR="006D516B" w:rsidRDefault="006D516B" w:rsidP="006D516B">
      <w:pPr>
        <w:jc w:val="both"/>
        <w:rPr>
          <w:rFonts w:hint="eastAsia"/>
        </w:rPr>
      </w:pPr>
    </w:p>
    <w:p w14:paraId="40B3AF8A" w14:textId="77777777" w:rsidR="0030403C" w:rsidRDefault="00A268F8">
      <w:pPr>
        <w:pStyle w:val="Ttulo2"/>
      </w:pPr>
      <w:r>
        <w:t>Finalidad y objetivos</w:t>
      </w:r>
    </w:p>
    <w:p w14:paraId="48621E6B" w14:textId="77777777" w:rsidR="0030403C" w:rsidRDefault="00A268F8">
      <w:pPr>
        <w:pStyle w:val="Listaconvietas"/>
        <w:rPr>
          <w:rFonts w:hint="eastAsia"/>
        </w:rPr>
      </w:pPr>
      <w:r>
        <w:t>Favorecer la creación y consolidación d</w:t>
      </w:r>
      <w:r>
        <w:t>e empleo cualificado y de empresas innovadoras.</w:t>
      </w:r>
    </w:p>
    <w:p w14:paraId="7735CE2D" w14:textId="77777777" w:rsidR="0030403C" w:rsidRDefault="00A268F8">
      <w:pPr>
        <w:pStyle w:val="Listaconvietas"/>
        <w:rPr>
          <w:rFonts w:hint="eastAsia"/>
        </w:rPr>
      </w:pPr>
      <w:r>
        <w:t>Contribuir a la generación de riqueza, competitividad y bienestar en Castilla-La Mancha.</w:t>
      </w:r>
    </w:p>
    <w:p w14:paraId="66339659" w14:textId="77777777" w:rsidR="0030403C" w:rsidRDefault="00A268F8">
      <w:pPr>
        <w:pStyle w:val="Listaconvietas"/>
        <w:rPr>
          <w:rFonts w:hint="eastAsia"/>
        </w:rPr>
      </w:pPr>
      <w:r>
        <w:t>Impulsar la modernización del tejido productivo mediante la innovación y la tecnología.</w:t>
      </w:r>
    </w:p>
    <w:p w14:paraId="641BB3DD" w14:textId="77777777" w:rsidR="0030403C" w:rsidRDefault="00A268F8">
      <w:pPr>
        <w:pStyle w:val="Listaconvietas"/>
        <w:rPr>
          <w:rFonts w:hint="eastAsia"/>
        </w:rPr>
      </w:pPr>
      <w:r>
        <w:t xml:space="preserve">Promover el </w:t>
      </w:r>
      <w:r>
        <w:t>desarrollo científico y tecnológico y facilitar la transferencia de conocimiento.</w:t>
      </w:r>
    </w:p>
    <w:p w14:paraId="15D015D5" w14:textId="77777777" w:rsidR="0030403C" w:rsidRDefault="00A268F8">
      <w:pPr>
        <w:pStyle w:val="Listaconvietas"/>
        <w:rPr>
          <w:rFonts w:hint="eastAsia"/>
        </w:rPr>
      </w:pPr>
      <w:r>
        <w:t>Favorecer el aprovechamiento empresarial y social de los resultados de investigación.</w:t>
      </w:r>
    </w:p>
    <w:p w14:paraId="6AE2391C" w14:textId="448B7159" w:rsidR="0030403C" w:rsidRDefault="0030403C">
      <w:pPr>
        <w:jc w:val="center"/>
        <w:rPr>
          <w:rFonts w:hint="eastAsia"/>
        </w:rPr>
      </w:pPr>
    </w:p>
    <w:p w14:paraId="03B5D1E0" w14:textId="77777777" w:rsidR="0030403C" w:rsidRDefault="00A268F8">
      <w:pPr>
        <w:jc w:val="center"/>
        <w:rPr>
          <w:rFonts w:hint="eastAsia"/>
        </w:rPr>
      </w:pPr>
      <w:r>
        <w:rPr>
          <w:i/>
          <w:color w:val="646464"/>
          <w:sz w:val="16"/>
        </w:rPr>
        <w:t>El PCTCLM actúa como nodo de conexión entre conocimiento, empresa e innovación.</w:t>
      </w:r>
    </w:p>
    <w:p w14:paraId="714124A9" w14:textId="77777777" w:rsidR="0030403C" w:rsidRDefault="00A268F8">
      <w:pPr>
        <w:rPr>
          <w:rFonts w:hint="eastAsia"/>
        </w:rPr>
      </w:pPr>
      <w:r>
        <w:br w:type="page"/>
      </w:r>
    </w:p>
    <w:p w14:paraId="6B2860A0" w14:textId="77777777" w:rsidR="0030403C" w:rsidRPr="00FE0669" w:rsidRDefault="00A268F8">
      <w:pPr>
        <w:pStyle w:val="Ttulo1"/>
        <w:rPr>
          <w:color w:val="31849B" w:themeColor="accent5" w:themeShade="BF"/>
        </w:rPr>
      </w:pPr>
      <w:r w:rsidRPr="00FE0669">
        <w:rPr>
          <w:color w:val="31849B" w:themeColor="accent5" w:themeShade="BF"/>
        </w:rPr>
        <w:lastRenderedPageBreak/>
        <w:t>3. I</w:t>
      </w:r>
      <w:r w:rsidRPr="00FE0669">
        <w:rPr>
          <w:color w:val="31849B" w:themeColor="accent5" w:themeShade="BF"/>
        </w:rPr>
        <w:t>nfraestructuras y capacidades del PCTCLM</w:t>
      </w:r>
    </w:p>
    <w:p w14:paraId="070FD66F" w14:textId="77777777" w:rsidR="0030403C" w:rsidRDefault="00A268F8">
      <w:pPr>
        <w:rPr>
          <w:rFonts w:hint="eastAsia"/>
        </w:rPr>
      </w:pPr>
      <w:r>
        <w:t>La Fundación dispone de infraestructuras empresariales, científicas y tecnológicas distribuidas en distintos puntos de Castilla-La Mancha. Estos espacios permiten combinar alojamiento empresarial, incubación, invest</w:t>
      </w:r>
      <w:r>
        <w:t>igación, servicios tecnológicos y colaboración con universidades y centros de I+D.</w:t>
      </w:r>
    </w:p>
    <w:p w14:paraId="05A220FE" w14:textId="77777777" w:rsidR="0030403C" w:rsidRDefault="00A268F8">
      <w:pPr>
        <w:pStyle w:val="Ttulo2"/>
      </w:pPr>
      <w:r>
        <w:t>Infraestructuras en Albacete</w:t>
      </w:r>
    </w:p>
    <w:tbl>
      <w:tblPr>
        <w:tblW w:w="0" w:type="auto"/>
        <w:jc w:val="center"/>
        <w:tblLook w:val="04A0" w:firstRow="1" w:lastRow="0" w:firstColumn="1" w:lastColumn="0" w:noHBand="0" w:noVBand="1"/>
      </w:tblPr>
      <w:tblGrid>
        <w:gridCol w:w="4929"/>
        <w:gridCol w:w="4929"/>
      </w:tblGrid>
      <w:tr w:rsidR="0030403C" w14:paraId="02C12215" w14:textId="77777777">
        <w:trPr>
          <w:jc w:val="center"/>
        </w:trPr>
        <w:tc>
          <w:tcPr>
            <w:tcW w:w="4929" w:type="dxa"/>
          </w:tcPr>
          <w:p w14:paraId="73F2E0C4" w14:textId="77777777" w:rsidR="006D516B" w:rsidRDefault="006D516B">
            <w:pPr>
              <w:jc w:val="center"/>
            </w:pPr>
          </w:p>
          <w:p w14:paraId="1FBCED4F" w14:textId="188109F4" w:rsidR="0030403C" w:rsidRDefault="00A268F8">
            <w:pPr>
              <w:jc w:val="center"/>
              <w:rPr>
                <w:rFonts w:hint="eastAsia"/>
              </w:rPr>
            </w:pPr>
            <w:r>
              <w:rPr>
                <w:noProof/>
              </w:rPr>
              <w:drawing>
                <wp:inline distT="0" distB="0" distL="0" distR="0" wp14:anchorId="057DA59F" wp14:editId="40477BC2">
                  <wp:extent cx="2556000" cy="15743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9"/>
                          <a:stretch>
                            <a:fillRect/>
                          </a:stretch>
                        </pic:blipFill>
                        <pic:spPr>
                          <a:xfrm>
                            <a:off x="0" y="0"/>
                            <a:ext cx="2556000" cy="1574348"/>
                          </a:xfrm>
                          <a:prstGeom prst="rect">
                            <a:avLst/>
                          </a:prstGeom>
                        </pic:spPr>
                      </pic:pic>
                    </a:graphicData>
                  </a:graphic>
                </wp:inline>
              </w:drawing>
            </w:r>
          </w:p>
          <w:p w14:paraId="2DE8A892" w14:textId="77777777" w:rsidR="0030403C" w:rsidRDefault="00A268F8">
            <w:pPr>
              <w:jc w:val="center"/>
              <w:rPr>
                <w:rFonts w:hint="eastAsia"/>
              </w:rPr>
            </w:pPr>
            <w:r>
              <w:rPr>
                <w:i/>
                <w:sz w:val="16"/>
              </w:rPr>
              <w:t>Centro de Emprendedores</w:t>
            </w:r>
          </w:p>
        </w:tc>
        <w:tc>
          <w:tcPr>
            <w:tcW w:w="4929" w:type="dxa"/>
          </w:tcPr>
          <w:p w14:paraId="3B4E1A4E" w14:textId="77777777" w:rsidR="006D516B" w:rsidRDefault="006D516B">
            <w:pPr>
              <w:jc w:val="center"/>
            </w:pPr>
          </w:p>
          <w:p w14:paraId="5197BDB5" w14:textId="0509A9CE" w:rsidR="0030403C" w:rsidRDefault="00A268F8">
            <w:pPr>
              <w:jc w:val="center"/>
              <w:rPr>
                <w:rFonts w:hint="eastAsia"/>
              </w:rPr>
            </w:pPr>
            <w:r>
              <w:rPr>
                <w:noProof/>
              </w:rPr>
              <w:drawing>
                <wp:inline distT="0" distB="0" distL="0" distR="0" wp14:anchorId="1163A7C2" wp14:editId="37276EA1">
                  <wp:extent cx="2556000" cy="15800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10"/>
                          <a:stretch>
                            <a:fillRect/>
                          </a:stretch>
                        </pic:blipFill>
                        <pic:spPr>
                          <a:xfrm>
                            <a:off x="0" y="0"/>
                            <a:ext cx="2556000" cy="1580073"/>
                          </a:xfrm>
                          <a:prstGeom prst="rect">
                            <a:avLst/>
                          </a:prstGeom>
                        </pic:spPr>
                      </pic:pic>
                    </a:graphicData>
                  </a:graphic>
                </wp:inline>
              </w:drawing>
            </w:r>
          </w:p>
          <w:p w14:paraId="4555AC55" w14:textId="77777777" w:rsidR="0030403C" w:rsidRDefault="00A268F8">
            <w:pPr>
              <w:jc w:val="center"/>
              <w:rPr>
                <w:rFonts w:hint="eastAsia"/>
              </w:rPr>
            </w:pPr>
            <w:r>
              <w:rPr>
                <w:i/>
                <w:sz w:val="16"/>
              </w:rPr>
              <w:t xml:space="preserve">Infraestructuras </w:t>
            </w:r>
            <w:r>
              <w:rPr>
                <w:i/>
                <w:sz w:val="16"/>
              </w:rPr>
              <w:t>empresariales PCTCLM</w:t>
            </w:r>
          </w:p>
        </w:tc>
      </w:tr>
      <w:tr w:rsidR="0030403C" w14:paraId="5D3DF9AD" w14:textId="77777777">
        <w:trPr>
          <w:jc w:val="center"/>
        </w:trPr>
        <w:tc>
          <w:tcPr>
            <w:tcW w:w="4929" w:type="dxa"/>
          </w:tcPr>
          <w:p w14:paraId="46453401" w14:textId="77777777" w:rsidR="0030403C" w:rsidRDefault="00A268F8">
            <w:pPr>
              <w:jc w:val="center"/>
              <w:rPr>
                <w:rFonts w:hint="eastAsia"/>
              </w:rPr>
            </w:pPr>
            <w:r>
              <w:rPr>
                <w:noProof/>
              </w:rPr>
              <w:drawing>
                <wp:inline distT="0" distB="0" distL="0" distR="0" wp14:anchorId="7ECBF651" wp14:editId="71B58DD7">
                  <wp:extent cx="2556000" cy="15764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11"/>
                          <a:stretch>
                            <a:fillRect/>
                          </a:stretch>
                        </pic:blipFill>
                        <pic:spPr>
                          <a:xfrm>
                            <a:off x="0" y="0"/>
                            <a:ext cx="2556000" cy="1576455"/>
                          </a:xfrm>
                          <a:prstGeom prst="rect">
                            <a:avLst/>
                          </a:prstGeom>
                        </pic:spPr>
                      </pic:pic>
                    </a:graphicData>
                  </a:graphic>
                </wp:inline>
              </w:drawing>
            </w:r>
          </w:p>
          <w:p w14:paraId="67E8E2EE" w14:textId="77777777" w:rsidR="0030403C" w:rsidRDefault="00A268F8">
            <w:pPr>
              <w:jc w:val="center"/>
              <w:rPr>
                <w:rFonts w:hint="eastAsia"/>
              </w:rPr>
            </w:pPr>
            <w:r>
              <w:rPr>
                <w:i/>
                <w:sz w:val="16"/>
              </w:rPr>
              <w:t>Centro de I+D</w:t>
            </w:r>
          </w:p>
        </w:tc>
        <w:tc>
          <w:tcPr>
            <w:tcW w:w="4929" w:type="dxa"/>
          </w:tcPr>
          <w:p w14:paraId="6C56A9C3" w14:textId="77777777" w:rsidR="0030403C" w:rsidRDefault="00A268F8">
            <w:pPr>
              <w:jc w:val="center"/>
              <w:rPr>
                <w:rFonts w:hint="eastAsia"/>
              </w:rPr>
            </w:pPr>
            <w:r>
              <w:rPr>
                <w:noProof/>
              </w:rPr>
              <w:drawing>
                <wp:inline distT="0" distB="0" distL="0" distR="0" wp14:anchorId="5D0F5A3A" wp14:editId="31055D48">
                  <wp:extent cx="2556000" cy="15741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12"/>
                          <a:stretch>
                            <a:fillRect/>
                          </a:stretch>
                        </pic:blipFill>
                        <pic:spPr>
                          <a:xfrm>
                            <a:off x="0" y="0"/>
                            <a:ext cx="2556000" cy="1574123"/>
                          </a:xfrm>
                          <a:prstGeom prst="rect">
                            <a:avLst/>
                          </a:prstGeom>
                        </pic:spPr>
                      </pic:pic>
                    </a:graphicData>
                  </a:graphic>
                </wp:inline>
              </w:drawing>
            </w:r>
          </w:p>
          <w:p w14:paraId="53BB8DDB" w14:textId="77777777" w:rsidR="0030403C" w:rsidRDefault="00A268F8">
            <w:pPr>
              <w:jc w:val="center"/>
              <w:rPr>
                <w:rFonts w:hint="eastAsia"/>
              </w:rPr>
            </w:pPr>
            <w:r>
              <w:rPr>
                <w:i/>
                <w:sz w:val="16"/>
              </w:rPr>
              <w:t>Bioincubadora de Empresas</w:t>
            </w:r>
          </w:p>
        </w:tc>
      </w:tr>
    </w:tbl>
    <w:p w14:paraId="2DA04A00" w14:textId="77777777" w:rsidR="0030403C" w:rsidRDefault="00A268F8">
      <w:pPr>
        <w:pStyle w:val="Ttulo2"/>
      </w:pPr>
      <w:r>
        <w:t>Guadalajara y Ciudad Real</w:t>
      </w:r>
    </w:p>
    <w:p w14:paraId="7943A7E8" w14:textId="77777777" w:rsidR="0030403C" w:rsidRDefault="00A268F8" w:rsidP="006D516B">
      <w:pPr>
        <w:jc w:val="both"/>
        <w:rPr>
          <w:rFonts w:hint="eastAsia"/>
        </w:rPr>
      </w:pPr>
      <w:r>
        <w:t xml:space="preserve">En Guadalajara, el PCTCLM dispone de espacios arrendados en el Edificio Nuevas Empresas, propiedad de GICAMAN, destinados al alojamiento de empresas. En </w:t>
      </w:r>
      <w:r>
        <w:t>Ciudad Real, la Incubadora de Empresas, propiedad del PCTCLM, está cedida a la Universidad de Castilla-La Mancha para el desarrollo de actividad investigadora y de transferencia.</w:t>
      </w:r>
    </w:p>
    <w:p w14:paraId="338D5B2E" w14:textId="77777777" w:rsidR="0030403C" w:rsidRDefault="00A268F8">
      <w:pPr>
        <w:jc w:val="center"/>
        <w:rPr>
          <w:rFonts w:hint="eastAsia"/>
        </w:rPr>
      </w:pPr>
      <w:r>
        <w:rPr>
          <w:noProof/>
        </w:rPr>
        <w:drawing>
          <wp:inline distT="0" distB="0" distL="0" distR="0" wp14:anchorId="35D85073" wp14:editId="46931595">
            <wp:extent cx="3060000" cy="18569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13"/>
                    <a:stretch>
                      <a:fillRect/>
                    </a:stretch>
                  </pic:blipFill>
                  <pic:spPr>
                    <a:xfrm>
                      <a:off x="0" y="0"/>
                      <a:ext cx="3060000" cy="1856976"/>
                    </a:xfrm>
                    <a:prstGeom prst="rect">
                      <a:avLst/>
                    </a:prstGeom>
                  </pic:spPr>
                </pic:pic>
              </a:graphicData>
            </a:graphic>
          </wp:inline>
        </w:drawing>
      </w:r>
    </w:p>
    <w:p w14:paraId="62534550" w14:textId="14234BAF" w:rsidR="006C4427" w:rsidRDefault="00A268F8">
      <w:pPr>
        <w:jc w:val="center"/>
        <w:rPr>
          <w:i/>
          <w:color w:val="646464"/>
          <w:sz w:val="16"/>
        </w:rPr>
      </w:pPr>
      <w:r>
        <w:rPr>
          <w:i/>
          <w:color w:val="646464"/>
          <w:sz w:val="16"/>
        </w:rPr>
        <w:t xml:space="preserve">Incubadora de </w:t>
      </w:r>
      <w:proofErr w:type="spellStart"/>
      <w:r>
        <w:rPr>
          <w:i/>
          <w:color w:val="646464"/>
          <w:sz w:val="16"/>
        </w:rPr>
        <w:t>Empresas</w:t>
      </w:r>
      <w:proofErr w:type="spellEnd"/>
      <w:r>
        <w:rPr>
          <w:i/>
          <w:color w:val="646464"/>
          <w:sz w:val="16"/>
        </w:rPr>
        <w:t xml:space="preserve"> de Ciudad Real.</w:t>
      </w:r>
    </w:p>
    <w:p w14:paraId="291B478D" w14:textId="1694B0EF" w:rsidR="006C4427" w:rsidRDefault="006C4427">
      <w:pPr>
        <w:jc w:val="center"/>
      </w:pPr>
    </w:p>
    <w:p w14:paraId="615489F4" w14:textId="77777777" w:rsidR="006C4427" w:rsidRDefault="006C4427">
      <w:pPr>
        <w:jc w:val="center"/>
        <w:rPr>
          <w:rFonts w:hint="eastAsia"/>
        </w:rPr>
      </w:pPr>
    </w:p>
    <w:tbl>
      <w:tblPr>
        <w:tblStyle w:val="Tablaconcuadrcula"/>
        <w:tblW w:w="0" w:type="auto"/>
        <w:jc w:val="center"/>
        <w:tblLook w:val="04A0" w:firstRow="1" w:lastRow="0" w:firstColumn="1" w:lastColumn="0" w:noHBand="0" w:noVBand="1"/>
      </w:tblPr>
      <w:tblGrid>
        <w:gridCol w:w="2463"/>
        <w:gridCol w:w="2461"/>
        <w:gridCol w:w="2462"/>
        <w:gridCol w:w="2462"/>
      </w:tblGrid>
      <w:tr w:rsidR="006C4427" w14:paraId="4557E987" w14:textId="77777777" w:rsidTr="002618C5">
        <w:trPr>
          <w:jc w:val="center"/>
        </w:trPr>
        <w:tc>
          <w:tcPr>
            <w:tcW w:w="2464" w:type="dxa"/>
            <w:shd w:val="clear" w:color="auto" w:fill="4F7D85"/>
            <w:vAlign w:val="center"/>
          </w:tcPr>
          <w:p w14:paraId="2F96F936" w14:textId="77777777" w:rsidR="006C4427" w:rsidRDefault="006C4427" w:rsidP="002618C5">
            <w:pPr>
              <w:rPr>
                <w:rFonts w:hint="eastAsia"/>
              </w:rPr>
            </w:pPr>
            <w:proofErr w:type="spellStart"/>
            <w:r>
              <w:rPr>
                <w:b/>
                <w:color w:val="FFFFFF"/>
                <w:sz w:val="18"/>
              </w:rPr>
              <w:t>Infraestructura</w:t>
            </w:r>
            <w:proofErr w:type="spellEnd"/>
          </w:p>
        </w:tc>
        <w:tc>
          <w:tcPr>
            <w:tcW w:w="2464" w:type="dxa"/>
            <w:shd w:val="clear" w:color="auto" w:fill="4F7D85"/>
            <w:vAlign w:val="center"/>
          </w:tcPr>
          <w:p w14:paraId="4DE35CB7" w14:textId="77777777" w:rsidR="006C4427" w:rsidRDefault="006C4427" w:rsidP="002618C5">
            <w:pPr>
              <w:rPr>
                <w:rFonts w:hint="eastAsia"/>
              </w:rPr>
            </w:pPr>
            <w:r>
              <w:rPr>
                <w:b/>
                <w:color w:val="FFFFFF"/>
                <w:sz w:val="18"/>
              </w:rPr>
              <w:t>Año</w:t>
            </w:r>
          </w:p>
        </w:tc>
        <w:tc>
          <w:tcPr>
            <w:tcW w:w="2464" w:type="dxa"/>
            <w:shd w:val="clear" w:color="auto" w:fill="4F7D85"/>
            <w:vAlign w:val="center"/>
          </w:tcPr>
          <w:p w14:paraId="2668B8FD" w14:textId="77777777" w:rsidR="006C4427" w:rsidRDefault="006C4427" w:rsidP="002618C5">
            <w:pPr>
              <w:rPr>
                <w:rFonts w:hint="eastAsia"/>
              </w:rPr>
            </w:pPr>
            <w:r>
              <w:rPr>
                <w:b/>
                <w:color w:val="FFFFFF"/>
                <w:sz w:val="18"/>
              </w:rPr>
              <w:t>Inversión inicial</w:t>
            </w:r>
          </w:p>
        </w:tc>
        <w:tc>
          <w:tcPr>
            <w:tcW w:w="2464" w:type="dxa"/>
            <w:shd w:val="clear" w:color="auto" w:fill="4F7D85"/>
            <w:vAlign w:val="center"/>
          </w:tcPr>
          <w:p w14:paraId="1A8D99F4" w14:textId="77777777" w:rsidR="006C4427" w:rsidRDefault="006C4427" w:rsidP="002618C5">
            <w:pPr>
              <w:rPr>
                <w:rFonts w:hint="eastAsia"/>
              </w:rPr>
            </w:pPr>
            <w:r>
              <w:rPr>
                <w:b/>
                <w:color w:val="FFFFFF"/>
                <w:sz w:val="18"/>
              </w:rPr>
              <w:t>Ocupación de referencia</w:t>
            </w:r>
          </w:p>
        </w:tc>
      </w:tr>
      <w:tr w:rsidR="006C4427" w14:paraId="33013A4A" w14:textId="77777777" w:rsidTr="002618C5">
        <w:trPr>
          <w:jc w:val="center"/>
        </w:trPr>
        <w:tc>
          <w:tcPr>
            <w:tcW w:w="2464" w:type="dxa"/>
            <w:vAlign w:val="center"/>
          </w:tcPr>
          <w:p w14:paraId="58A6A93F" w14:textId="77777777" w:rsidR="006C4427" w:rsidRDefault="006C4427" w:rsidP="002618C5">
            <w:pPr>
              <w:rPr>
                <w:rFonts w:hint="eastAsia"/>
              </w:rPr>
            </w:pPr>
            <w:r>
              <w:rPr>
                <w:sz w:val="18"/>
              </w:rPr>
              <w:t>Centro de Emprendedores</w:t>
            </w:r>
          </w:p>
        </w:tc>
        <w:tc>
          <w:tcPr>
            <w:tcW w:w="2464" w:type="dxa"/>
            <w:vAlign w:val="center"/>
          </w:tcPr>
          <w:p w14:paraId="0CB7C17D" w14:textId="77777777" w:rsidR="006C4427" w:rsidRDefault="006C4427" w:rsidP="002618C5">
            <w:pPr>
              <w:rPr>
                <w:rFonts w:hint="eastAsia"/>
              </w:rPr>
            </w:pPr>
            <w:r>
              <w:rPr>
                <w:sz w:val="18"/>
              </w:rPr>
              <w:t>2006</w:t>
            </w:r>
          </w:p>
        </w:tc>
        <w:tc>
          <w:tcPr>
            <w:tcW w:w="2464" w:type="dxa"/>
            <w:vAlign w:val="center"/>
          </w:tcPr>
          <w:p w14:paraId="00868599" w14:textId="77777777" w:rsidR="006C4427" w:rsidRDefault="006C4427" w:rsidP="002618C5">
            <w:pPr>
              <w:rPr>
                <w:rFonts w:hint="eastAsia"/>
              </w:rPr>
            </w:pPr>
            <w:r>
              <w:rPr>
                <w:sz w:val="18"/>
              </w:rPr>
              <w:t>1.831.594,74 €</w:t>
            </w:r>
          </w:p>
        </w:tc>
        <w:tc>
          <w:tcPr>
            <w:tcW w:w="2464" w:type="dxa"/>
            <w:vAlign w:val="center"/>
          </w:tcPr>
          <w:p w14:paraId="43BFE000" w14:textId="77777777" w:rsidR="006C4427" w:rsidRDefault="006C4427" w:rsidP="002618C5">
            <w:pPr>
              <w:rPr>
                <w:rFonts w:hint="eastAsia"/>
              </w:rPr>
            </w:pPr>
            <w:r>
              <w:rPr>
                <w:sz w:val="18"/>
              </w:rPr>
              <w:t>100%</w:t>
            </w:r>
          </w:p>
        </w:tc>
      </w:tr>
      <w:tr w:rsidR="006C4427" w14:paraId="0BA0ADF2" w14:textId="77777777" w:rsidTr="002618C5">
        <w:trPr>
          <w:jc w:val="center"/>
        </w:trPr>
        <w:tc>
          <w:tcPr>
            <w:tcW w:w="2464" w:type="dxa"/>
            <w:vAlign w:val="center"/>
          </w:tcPr>
          <w:p w14:paraId="51260977" w14:textId="77777777" w:rsidR="006C4427" w:rsidRDefault="006C4427" w:rsidP="002618C5">
            <w:pPr>
              <w:rPr>
                <w:rFonts w:hint="eastAsia"/>
              </w:rPr>
            </w:pPr>
            <w:r>
              <w:rPr>
                <w:sz w:val="18"/>
              </w:rPr>
              <w:t>Instituto de Desarrollo Industrial / Instituto de Energías Renovables</w:t>
            </w:r>
          </w:p>
        </w:tc>
        <w:tc>
          <w:tcPr>
            <w:tcW w:w="2464" w:type="dxa"/>
            <w:vAlign w:val="center"/>
          </w:tcPr>
          <w:p w14:paraId="3B45F93D" w14:textId="77777777" w:rsidR="006C4427" w:rsidRDefault="006C4427" w:rsidP="002618C5">
            <w:pPr>
              <w:rPr>
                <w:rFonts w:hint="eastAsia"/>
              </w:rPr>
            </w:pPr>
            <w:r>
              <w:rPr>
                <w:sz w:val="18"/>
              </w:rPr>
              <w:t>2007</w:t>
            </w:r>
          </w:p>
        </w:tc>
        <w:tc>
          <w:tcPr>
            <w:tcW w:w="2464" w:type="dxa"/>
            <w:vAlign w:val="center"/>
          </w:tcPr>
          <w:p w14:paraId="06777F4B" w14:textId="77777777" w:rsidR="006C4427" w:rsidRDefault="006C4427" w:rsidP="002618C5">
            <w:pPr>
              <w:rPr>
                <w:rFonts w:hint="eastAsia"/>
              </w:rPr>
            </w:pPr>
            <w:r>
              <w:rPr>
                <w:sz w:val="18"/>
              </w:rPr>
              <w:t>5.405.754,85 €</w:t>
            </w:r>
          </w:p>
        </w:tc>
        <w:tc>
          <w:tcPr>
            <w:tcW w:w="2464" w:type="dxa"/>
            <w:vAlign w:val="center"/>
          </w:tcPr>
          <w:p w14:paraId="315B0377" w14:textId="77777777" w:rsidR="006C4427" w:rsidRDefault="006C4427" w:rsidP="002618C5">
            <w:pPr>
              <w:rPr>
                <w:rFonts w:hint="eastAsia"/>
              </w:rPr>
            </w:pPr>
            <w:r>
              <w:rPr>
                <w:sz w:val="18"/>
              </w:rPr>
              <w:t>100%</w:t>
            </w:r>
          </w:p>
        </w:tc>
      </w:tr>
      <w:tr w:rsidR="006C4427" w14:paraId="544463CB" w14:textId="77777777" w:rsidTr="002618C5">
        <w:trPr>
          <w:jc w:val="center"/>
        </w:trPr>
        <w:tc>
          <w:tcPr>
            <w:tcW w:w="2464" w:type="dxa"/>
            <w:vAlign w:val="center"/>
          </w:tcPr>
          <w:p w14:paraId="2E3DDBDB" w14:textId="77777777" w:rsidR="006C4427" w:rsidRDefault="006C4427" w:rsidP="002618C5">
            <w:pPr>
              <w:rPr>
                <w:rFonts w:hint="eastAsia"/>
              </w:rPr>
            </w:pPr>
            <w:r>
              <w:rPr>
                <w:sz w:val="18"/>
              </w:rPr>
              <w:t>Centro de I+D de Empresas</w:t>
            </w:r>
          </w:p>
        </w:tc>
        <w:tc>
          <w:tcPr>
            <w:tcW w:w="2464" w:type="dxa"/>
            <w:vAlign w:val="center"/>
          </w:tcPr>
          <w:p w14:paraId="16282A37" w14:textId="77777777" w:rsidR="006C4427" w:rsidRDefault="006C4427" w:rsidP="002618C5">
            <w:pPr>
              <w:rPr>
                <w:rFonts w:hint="eastAsia"/>
              </w:rPr>
            </w:pPr>
            <w:r>
              <w:rPr>
                <w:sz w:val="18"/>
              </w:rPr>
              <w:t>2009</w:t>
            </w:r>
          </w:p>
        </w:tc>
        <w:tc>
          <w:tcPr>
            <w:tcW w:w="2464" w:type="dxa"/>
            <w:vAlign w:val="center"/>
          </w:tcPr>
          <w:p w14:paraId="1DE848AA" w14:textId="77777777" w:rsidR="006C4427" w:rsidRDefault="006C4427" w:rsidP="002618C5">
            <w:pPr>
              <w:rPr>
                <w:rFonts w:hint="eastAsia"/>
              </w:rPr>
            </w:pPr>
            <w:r>
              <w:rPr>
                <w:sz w:val="18"/>
              </w:rPr>
              <w:t>6.021.945,32 €</w:t>
            </w:r>
          </w:p>
        </w:tc>
        <w:tc>
          <w:tcPr>
            <w:tcW w:w="2464" w:type="dxa"/>
            <w:vAlign w:val="center"/>
          </w:tcPr>
          <w:p w14:paraId="73385C93" w14:textId="77777777" w:rsidR="006C4427" w:rsidRDefault="006C4427" w:rsidP="002618C5">
            <w:pPr>
              <w:rPr>
                <w:rFonts w:hint="eastAsia"/>
              </w:rPr>
            </w:pPr>
            <w:r>
              <w:rPr>
                <w:sz w:val="18"/>
              </w:rPr>
              <w:t>100%</w:t>
            </w:r>
          </w:p>
        </w:tc>
      </w:tr>
      <w:tr w:rsidR="006C4427" w14:paraId="67B48A1C" w14:textId="77777777" w:rsidTr="002618C5">
        <w:trPr>
          <w:jc w:val="center"/>
        </w:trPr>
        <w:tc>
          <w:tcPr>
            <w:tcW w:w="2464" w:type="dxa"/>
            <w:vAlign w:val="center"/>
          </w:tcPr>
          <w:p w14:paraId="5EB54E44" w14:textId="77777777" w:rsidR="006C4427" w:rsidRDefault="006C4427" w:rsidP="002618C5">
            <w:pPr>
              <w:rPr>
                <w:rFonts w:hint="eastAsia"/>
              </w:rPr>
            </w:pPr>
            <w:r>
              <w:rPr>
                <w:sz w:val="18"/>
              </w:rPr>
              <w:t>Bioincubadora de Empresas</w:t>
            </w:r>
          </w:p>
        </w:tc>
        <w:tc>
          <w:tcPr>
            <w:tcW w:w="2464" w:type="dxa"/>
            <w:vAlign w:val="center"/>
          </w:tcPr>
          <w:p w14:paraId="6C8879A4" w14:textId="77777777" w:rsidR="006C4427" w:rsidRDefault="006C4427" w:rsidP="002618C5">
            <w:pPr>
              <w:rPr>
                <w:rFonts w:hint="eastAsia"/>
              </w:rPr>
            </w:pPr>
            <w:r>
              <w:rPr>
                <w:sz w:val="18"/>
              </w:rPr>
              <w:t>2011</w:t>
            </w:r>
          </w:p>
        </w:tc>
        <w:tc>
          <w:tcPr>
            <w:tcW w:w="2464" w:type="dxa"/>
            <w:vAlign w:val="center"/>
          </w:tcPr>
          <w:p w14:paraId="4AAF7AD8" w14:textId="77777777" w:rsidR="006C4427" w:rsidRDefault="006C4427" w:rsidP="002618C5">
            <w:pPr>
              <w:rPr>
                <w:rFonts w:hint="eastAsia"/>
              </w:rPr>
            </w:pPr>
            <w:r>
              <w:rPr>
                <w:sz w:val="18"/>
              </w:rPr>
              <w:t>3.135.095,29 €</w:t>
            </w:r>
          </w:p>
        </w:tc>
        <w:tc>
          <w:tcPr>
            <w:tcW w:w="2464" w:type="dxa"/>
            <w:vAlign w:val="center"/>
          </w:tcPr>
          <w:p w14:paraId="49088A75" w14:textId="77777777" w:rsidR="006C4427" w:rsidRDefault="006C4427" w:rsidP="002618C5">
            <w:pPr>
              <w:rPr>
                <w:rFonts w:hint="eastAsia"/>
              </w:rPr>
            </w:pPr>
            <w:r>
              <w:rPr>
                <w:sz w:val="18"/>
              </w:rPr>
              <w:t>100%</w:t>
            </w:r>
          </w:p>
        </w:tc>
      </w:tr>
    </w:tbl>
    <w:p w14:paraId="50EFBCC4" w14:textId="033D3A46" w:rsidR="0030403C" w:rsidRDefault="0030403C">
      <w:pPr>
        <w:jc w:val="center"/>
      </w:pPr>
    </w:p>
    <w:p w14:paraId="5EF140BB" w14:textId="77777777" w:rsidR="006C4427" w:rsidRDefault="006C4427">
      <w:pPr>
        <w:jc w:val="center"/>
        <w:rPr>
          <w:rFonts w:hint="eastAsia"/>
        </w:rPr>
      </w:pPr>
    </w:p>
    <w:p w14:paraId="182988DE" w14:textId="77777777" w:rsidR="0030403C" w:rsidRDefault="00A268F8">
      <w:pPr>
        <w:pStyle w:val="Ttulo2"/>
      </w:pPr>
      <w:r>
        <w:t>Centros y capacidades asociadas</w:t>
      </w:r>
    </w:p>
    <w:p w14:paraId="0C746213" w14:textId="4811E977" w:rsidR="0030403C" w:rsidRDefault="00A268F8">
      <w:r>
        <w:t>El e</w:t>
      </w:r>
      <w:r>
        <w:t>cosistema científico del Parque se complementa con centros asociados de la Universidad de Castilla-La Mancha, entre ellos el Centro Regional de Investigaciones Biomédicas (CRIB) y el Instituto de Investigación en Informática de Albacete (I3A), además de ca</w:t>
      </w:r>
      <w:r>
        <w:t xml:space="preserve">pacidades propias o vinculadas a la Fundación como el Instituto de Desarrollo Industrial, el Instituto de Investigación en </w:t>
      </w:r>
      <w:proofErr w:type="spellStart"/>
      <w:r>
        <w:t>Energías</w:t>
      </w:r>
      <w:proofErr w:type="spellEnd"/>
      <w:r>
        <w:t xml:space="preserve"> </w:t>
      </w:r>
      <w:proofErr w:type="spellStart"/>
      <w:r>
        <w:t>Renovables</w:t>
      </w:r>
      <w:proofErr w:type="spellEnd"/>
      <w:r w:rsidR="006D516B">
        <w:t xml:space="preserve"> y</w:t>
      </w:r>
      <w:r>
        <w:t xml:space="preserve"> </w:t>
      </w:r>
      <w:proofErr w:type="spellStart"/>
      <w:r>
        <w:t>CaLMa</w:t>
      </w:r>
      <w:proofErr w:type="spellEnd"/>
      <w:r>
        <w:t>.</w:t>
      </w:r>
    </w:p>
    <w:p w14:paraId="72365078" w14:textId="527EED59" w:rsidR="006D516B" w:rsidRDefault="006D516B"/>
    <w:p w14:paraId="64709C98" w14:textId="76C7465E" w:rsidR="00A268F8" w:rsidRDefault="00A268F8">
      <w:r>
        <w:rPr>
          <w:noProof/>
        </w:rPr>
        <w:drawing>
          <wp:anchor distT="0" distB="0" distL="114300" distR="114300" simplePos="0" relativeHeight="251658240" behindDoc="1" locked="0" layoutInCell="1" allowOverlap="1" wp14:anchorId="13AFCBC0" wp14:editId="55E389D2">
            <wp:simplePos x="0" y="0"/>
            <wp:positionH relativeFrom="margin">
              <wp:align>left</wp:align>
            </wp:positionH>
            <wp:positionV relativeFrom="paragraph">
              <wp:posOffset>12065</wp:posOffset>
            </wp:positionV>
            <wp:extent cx="4067175" cy="581025"/>
            <wp:effectExtent l="0" t="0" r="0" b="9525"/>
            <wp:wrapTight wrapText="bothSides">
              <wp:wrapPolygon edited="0">
                <wp:start x="0" y="0"/>
                <wp:lineTo x="0" y="21246"/>
                <wp:lineTo x="3237" y="21246"/>
                <wp:lineTo x="19222" y="21246"/>
                <wp:lineTo x="20335" y="20538"/>
                <wp:lineTo x="20133" y="5666"/>
                <wp:lineTo x="13456" y="708"/>
                <wp:lineTo x="323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14"/>
                    <a:stretch>
                      <a:fillRect/>
                    </a:stretch>
                  </pic:blipFill>
                  <pic:spPr>
                    <a:xfrm>
                      <a:off x="0" y="0"/>
                      <a:ext cx="4067175" cy="581025"/>
                    </a:xfrm>
                    <a:prstGeom prst="rect">
                      <a:avLst/>
                    </a:prstGeom>
                  </pic:spPr>
                </pic:pic>
              </a:graphicData>
            </a:graphic>
            <wp14:sizeRelH relativeFrom="margin">
              <wp14:pctWidth>0</wp14:pctWidth>
            </wp14:sizeRelH>
            <wp14:sizeRelV relativeFrom="margin">
              <wp14:pctHeight>0</wp14:pctHeight>
            </wp14:sizeRelV>
          </wp:anchor>
        </w:drawing>
      </w:r>
    </w:p>
    <w:p w14:paraId="247D0A20" w14:textId="376641B5" w:rsidR="00A268F8" w:rsidRDefault="00A268F8">
      <w:pPr>
        <w:rPr>
          <w:rFonts w:hint="eastAsia"/>
        </w:rPr>
      </w:pPr>
    </w:p>
    <w:tbl>
      <w:tblPr>
        <w:tblW w:w="0" w:type="auto"/>
        <w:jc w:val="center"/>
        <w:tblLook w:val="04A0" w:firstRow="1" w:lastRow="0" w:firstColumn="1" w:lastColumn="0" w:noHBand="0" w:noVBand="1"/>
      </w:tblPr>
      <w:tblGrid>
        <w:gridCol w:w="1693"/>
        <w:gridCol w:w="3255"/>
        <w:gridCol w:w="1693"/>
        <w:gridCol w:w="3217"/>
      </w:tblGrid>
      <w:tr w:rsidR="00A268F8" w14:paraId="2BD33E33" w14:textId="77777777">
        <w:trPr>
          <w:jc w:val="center"/>
        </w:trPr>
        <w:tc>
          <w:tcPr>
            <w:tcW w:w="2464" w:type="dxa"/>
          </w:tcPr>
          <w:p w14:paraId="1510F321" w14:textId="23E375A6" w:rsidR="0030403C" w:rsidRDefault="0030403C">
            <w:pPr>
              <w:jc w:val="center"/>
            </w:pPr>
          </w:p>
          <w:p w14:paraId="6B567068" w14:textId="14110349" w:rsidR="00A268F8" w:rsidRDefault="00A268F8">
            <w:pPr>
              <w:jc w:val="center"/>
            </w:pPr>
          </w:p>
          <w:p w14:paraId="581B9EEB" w14:textId="586412BE" w:rsidR="00A268F8" w:rsidRDefault="00A268F8">
            <w:pPr>
              <w:jc w:val="center"/>
            </w:pPr>
          </w:p>
          <w:p w14:paraId="145182AB" w14:textId="7DB1444C" w:rsidR="00A268F8" w:rsidRDefault="00A268F8">
            <w:pPr>
              <w:jc w:val="center"/>
            </w:pPr>
          </w:p>
          <w:p w14:paraId="47B13460" w14:textId="77777777" w:rsidR="00A268F8" w:rsidRDefault="00A268F8">
            <w:pPr>
              <w:jc w:val="center"/>
            </w:pPr>
          </w:p>
          <w:p w14:paraId="6721EDAB" w14:textId="77777777" w:rsidR="00A268F8" w:rsidRDefault="00A268F8">
            <w:pPr>
              <w:jc w:val="center"/>
            </w:pPr>
          </w:p>
          <w:p w14:paraId="0BD0FE96" w14:textId="77777777" w:rsidR="00A268F8" w:rsidRDefault="00A268F8">
            <w:pPr>
              <w:jc w:val="center"/>
            </w:pPr>
          </w:p>
          <w:p w14:paraId="46C2E60E" w14:textId="77777777" w:rsidR="00A268F8" w:rsidRDefault="00A268F8">
            <w:pPr>
              <w:jc w:val="center"/>
            </w:pPr>
          </w:p>
          <w:p w14:paraId="67E339EF" w14:textId="6BC3849A" w:rsidR="00A268F8" w:rsidRDefault="00A268F8">
            <w:pPr>
              <w:jc w:val="center"/>
              <w:rPr>
                <w:rFonts w:hint="eastAsia"/>
              </w:rPr>
            </w:pPr>
          </w:p>
        </w:tc>
        <w:tc>
          <w:tcPr>
            <w:tcW w:w="2464" w:type="dxa"/>
          </w:tcPr>
          <w:p w14:paraId="13326729" w14:textId="6BB7C3FC" w:rsidR="0030403C" w:rsidRDefault="00A268F8">
            <w:pPr>
              <w:jc w:val="center"/>
              <w:rPr>
                <w:rFonts w:hint="eastAsia"/>
              </w:rPr>
            </w:pPr>
            <w:r>
              <w:rPr>
                <w:noProof/>
              </w:rPr>
              <w:drawing>
                <wp:anchor distT="0" distB="0" distL="114300" distR="114300" simplePos="0" relativeHeight="251667456" behindDoc="1" locked="0" layoutInCell="1" allowOverlap="1" wp14:anchorId="53DF5C4B" wp14:editId="69F601DD">
                  <wp:simplePos x="0" y="0"/>
                  <wp:positionH relativeFrom="column">
                    <wp:posOffset>-68580</wp:posOffset>
                  </wp:positionH>
                  <wp:positionV relativeFrom="paragraph">
                    <wp:posOffset>367665</wp:posOffset>
                  </wp:positionV>
                  <wp:extent cx="1929765" cy="1162050"/>
                  <wp:effectExtent l="0" t="0" r="0" b="0"/>
                  <wp:wrapTight wrapText="bothSides">
                    <wp:wrapPolygon edited="0">
                      <wp:start x="0" y="0"/>
                      <wp:lineTo x="0" y="21246"/>
                      <wp:lineTo x="21323" y="21246"/>
                      <wp:lineTo x="2132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15"/>
                          <a:stretch>
                            <a:fillRect/>
                          </a:stretch>
                        </pic:blipFill>
                        <pic:spPr>
                          <a:xfrm>
                            <a:off x="0" y="0"/>
                            <a:ext cx="1929765" cy="1162050"/>
                          </a:xfrm>
                          <a:prstGeom prst="rect">
                            <a:avLst/>
                          </a:prstGeom>
                        </pic:spPr>
                      </pic:pic>
                    </a:graphicData>
                  </a:graphic>
                  <wp14:sizeRelH relativeFrom="margin">
                    <wp14:pctWidth>0</wp14:pctWidth>
                  </wp14:sizeRelH>
                  <wp14:sizeRelV relativeFrom="margin">
                    <wp14:pctHeight>0</wp14:pctHeight>
                  </wp14:sizeRelV>
                </wp:anchor>
              </w:drawing>
            </w:r>
          </w:p>
        </w:tc>
        <w:tc>
          <w:tcPr>
            <w:tcW w:w="2464" w:type="dxa"/>
          </w:tcPr>
          <w:p w14:paraId="0FAC4180" w14:textId="48C71308" w:rsidR="0030403C" w:rsidRDefault="0030403C">
            <w:pPr>
              <w:jc w:val="center"/>
              <w:rPr>
                <w:rFonts w:hint="eastAsia"/>
              </w:rPr>
            </w:pPr>
          </w:p>
        </w:tc>
        <w:tc>
          <w:tcPr>
            <w:tcW w:w="2464" w:type="dxa"/>
          </w:tcPr>
          <w:p w14:paraId="5E59886A" w14:textId="1831FFE3" w:rsidR="0030403C" w:rsidRDefault="00A268F8">
            <w:pPr>
              <w:jc w:val="center"/>
              <w:rPr>
                <w:rFonts w:hint="eastAsia"/>
              </w:rPr>
            </w:pPr>
            <w:r>
              <w:rPr>
                <w:noProof/>
              </w:rPr>
              <w:drawing>
                <wp:anchor distT="0" distB="0" distL="114300" distR="114300" simplePos="0" relativeHeight="251659264" behindDoc="1" locked="0" layoutInCell="1" allowOverlap="1" wp14:anchorId="6D1DE24C" wp14:editId="19822B76">
                  <wp:simplePos x="0" y="0"/>
                  <wp:positionH relativeFrom="column">
                    <wp:posOffset>-68580</wp:posOffset>
                  </wp:positionH>
                  <wp:positionV relativeFrom="paragraph">
                    <wp:posOffset>567690</wp:posOffset>
                  </wp:positionV>
                  <wp:extent cx="1905684" cy="847725"/>
                  <wp:effectExtent l="0" t="0" r="0" b="0"/>
                  <wp:wrapTight wrapText="bothSides">
                    <wp:wrapPolygon edited="0">
                      <wp:start x="0" y="0"/>
                      <wp:lineTo x="0" y="20872"/>
                      <wp:lineTo x="21377" y="20872"/>
                      <wp:lineTo x="2137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16"/>
                          <a:stretch>
                            <a:fillRect/>
                          </a:stretch>
                        </pic:blipFill>
                        <pic:spPr>
                          <a:xfrm>
                            <a:off x="0" y="0"/>
                            <a:ext cx="1905684" cy="847725"/>
                          </a:xfrm>
                          <a:prstGeom prst="rect">
                            <a:avLst/>
                          </a:prstGeom>
                        </pic:spPr>
                      </pic:pic>
                    </a:graphicData>
                  </a:graphic>
                  <wp14:sizeRelH relativeFrom="margin">
                    <wp14:pctWidth>0</wp14:pctWidth>
                  </wp14:sizeRelH>
                  <wp14:sizeRelV relativeFrom="margin">
                    <wp14:pctHeight>0</wp14:pctHeight>
                  </wp14:sizeRelV>
                </wp:anchor>
              </w:drawing>
            </w:r>
          </w:p>
        </w:tc>
      </w:tr>
    </w:tbl>
    <w:p w14:paraId="6205EF62" w14:textId="0D8B63FA" w:rsidR="0030403C" w:rsidRDefault="00A268F8">
      <w:pPr>
        <w:rPr>
          <w:rFonts w:hint="eastAsia"/>
        </w:rPr>
      </w:pPr>
      <w:r>
        <w:br w:type="page"/>
      </w:r>
    </w:p>
    <w:p w14:paraId="18BD8009" w14:textId="77777777" w:rsidR="0030403C" w:rsidRPr="00FE0669" w:rsidRDefault="00A268F8">
      <w:pPr>
        <w:pStyle w:val="Ttulo1"/>
        <w:rPr>
          <w:color w:val="31849B" w:themeColor="accent5" w:themeShade="BF"/>
        </w:rPr>
      </w:pPr>
      <w:r w:rsidRPr="00FE0669">
        <w:rPr>
          <w:color w:val="31849B" w:themeColor="accent5" w:themeShade="BF"/>
        </w:rPr>
        <w:lastRenderedPageBreak/>
        <w:t>4. Ecosistema empresarial y áreas de especialización</w:t>
      </w:r>
    </w:p>
    <w:p w14:paraId="6940AF28" w14:textId="77777777" w:rsidR="006D516B" w:rsidRDefault="006D516B" w:rsidP="006D516B">
      <w:pPr>
        <w:jc w:val="both"/>
      </w:pPr>
    </w:p>
    <w:p w14:paraId="38E58F4B" w14:textId="694A7A3F" w:rsidR="0030403C" w:rsidRDefault="00A268F8" w:rsidP="006D516B">
      <w:pPr>
        <w:jc w:val="both"/>
        <w:rPr>
          <w:rFonts w:hint="eastAsia"/>
        </w:rPr>
      </w:pPr>
      <w:r>
        <w:t xml:space="preserve">El PCTCLM </w:t>
      </w:r>
      <w:proofErr w:type="spellStart"/>
      <w:r>
        <w:t>reúne</w:t>
      </w:r>
      <w:proofErr w:type="spellEnd"/>
      <w:r>
        <w:t xml:space="preserve"> </w:t>
      </w:r>
      <w:proofErr w:type="spellStart"/>
      <w:r>
        <w:t>empresas</w:t>
      </w:r>
      <w:proofErr w:type="spellEnd"/>
      <w:r>
        <w:t xml:space="preserve"> y </w:t>
      </w:r>
      <w:r>
        <w:t>capacidades tecnológicas de perfiles diversos. La memoria de referencia del Parque estructura su ecosistema empresarial en grandes ámbitos de especialización que continúan siendo útiles para describir la diversidad tecnológica del entorno.</w:t>
      </w:r>
    </w:p>
    <w:p w14:paraId="59B708A9" w14:textId="77777777" w:rsidR="0030403C" w:rsidRDefault="00A268F8" w:rsidP="006D516B">
      <w:pPr>
        <w:pStyle w:val="Ttulo2"/>
        <w:jc w:val="both"/>
      </w:pPr>
      <w:r>
        <w:t>Ingeniería, auto</w:t>
      </w:r>
      <w:r>
        <w:t>mática y robótica</w:t>
      </w:r>
    </w:p>
    <w:p w14:paraId="5DD4221F" w14:textId="77777777" w:rsidR="0030403C" w:rsidRDefault="00A268F8" w:rsidP="006D516B">
      <w:pPr>
        <w:jc w:val="both"/>
        <w:rPr>
          <w:rFonts w:hint="eastAsia"/>
        </w:rPr>
      </w:pPr>
      <w:r>
        <w:t>Desarrollo industrial, automatización, fabricación, control, sensórica y soluciones de ingeniería.</w:t>
      </w:r>
    </w:p>
    <w:p w14:paraId="2E2DDA3A" w14:textId="77777777" w:rsidR="0030403C" w:rsidRDefault="00A268F8" w:rsidP="006D516B">
      <w:pPr>
        <w:pStyle w:val="Ttulo2"/>
        <w:jc w:val="both"/>
      </w:pPr>
      <w:r>
        <w:t>Energías renovables y eficiencia energética</w:t>
      </w:r>
    </w:p>
    <w:p w14:paraId="3019AA2E" w14:textId="77777777" w:rsidR="0030403C" w:rsidRDefault="00A268F8" w:rsidP="006D516B">
      <w:pPr>
        <w:jc w:val="both"/>
        <w:rPr>
          <w:rFonts w:hint="eastAsia"/>
        </w:rPr>
      </w:pPr>
      <w:r>
        <w:t>Tecnologías energéticas, sostenibilidad, eficiencia, movilidad y transición ecológica.</w:t>
      </w:r>
    </w:p>
    <w:p w14:paraId="63A268A5" w14:textId="77777777" w:rsidR="0030403C" w:rsidRDefault="00A268F8" w:rsidP="006D516B">
      <w:pPr>
        <w:pStyle w:val="Ttulo2"/>
        <w:jc w:val="both"/>
      </w:pPr>
      <w:r>
        <w:t>Tecnolog</w:t>
      </w:r>
      <w:r>
        <w:t>ías de la información y las comunicaciones</w:t>
      </w:r>
    </w:p>
    <w:p w14:paraId="68957C26" w14:textId="77777777" w:rsidR="0030403C" w:rsidRDefault="00A268F8" w:rsidP="006D516B">
      <w:pPr>
        <w:jc w:val="both"/>
        <w:rPr>
          <w:rFonts w:hint="eastAsia"/>
        </w:rPr>
      </w:pPr>
      <w:r>
        <w:t>Software, datos, telecomunicaciones, ciberseguridad, servicios digitales y transformación tecnológica.</w:t>
      </w:r>
    </w:p>
    <w:p w14:paraId="49C8A176" w14:textId="77777777" w:rsidR="0030403C" w:rsidRDefault="00A268F8" w:rsidP="006D516B">
      <w:pPr>
        <w:pStyle w:val="Ttulo2"/>
        <w:jc w:val="both"/>
      </w:pPr>
      <w:r>
        <w:t>Agrotecnología, biotecnología y biosalud</w:t>
      </w:r>
    </w:p>
    <w:p w14:paraId="30E6F5AC" w14:textId="77777777" w:rsidR="0030403C" w:rsidRDefault="00A268F8" w:rsidP="006D516B">
      <w:pPr>
        <w:jc w:val="both"/>
        <w:rPr>
          <w:rFonts w:hint="eastAsia"/>
        </w:rPr>
      </w:pPr>
      <w:r>
        <w:t>Aplicaciones biotecnológicas, ciencias de la vida, salud, agroaliment</w:t>
      </w:r>
      <w:r>
        <w:t>ación y recursos científicos especializados.</w:t>
      </w:r>
    </w:p>
    <w:p w14:paraId="276B9E1A" w14:textId="77777777" w:rsidR="0030403C" w:rsidRDefault="00A268F8" w:rsidP="006D516B">
      <w:pPr>
        <w:pStyle w:val="Ttulo2"/>
        <w:jc w:val="both"/>
      </w:pPr>
      <w:r>
        <w:t>Consultoría de I+D+i</w:t>
      </w:r>
    </w:p>
    <w:p w14:paraId="669D2462" w14:textId="77777777" w:rsidR="0030403C" w:rsidRDefault="00A268F8" w:rsidP="006D516B">
      <w:pPr>
        <w:jc w:val="both"/>
        <w:rPr>
          <w:rFonts w:hint="eastAsia"/>
        </w:rPr>
      </w:pPr>
      <w:r>
        <w:t>Servicios de innovación, transferencia, financiación, estrategia tecnológica y apoyo a proyectos.</w:t>
      </w:r>
    </w:p>
    <w:p w14:paraId="3589B4BF" w14:textId="77777777" w:rsidR="0030403C" w:rsidRDefault="00A268F8" w:rsidP="006D516B">
      <w:pPr>
        <w:pStyle w:val="Ttulo2"/>
        <w:jc w:val="both"/>
      </w:pPr>
      <w:r>
        <w:t>Aeronáutica y aeroespacial</w:t>
      </w:r>
    </w:p>
    <w:p w14:paraId="7EE7C180" w14:textId="77777777" w:rsidR="0030403C" w:rsidRDefault="00A268F8" w:rsidP="006D516B">
      <w:pPr>
        <w:jc w:val="both"/>
        <w:rPr>
          <w:rFonts w:hint="eastAsia"/>
        </w:rPr>
      </w:pPr>
      <w:r>
        <w:t>Tecnologías, servicios y proyectos vinculados a aeronáutica, espa</w:t>
      </w:r>
      <w:r>
        <w:t>cio y nuevas cadenas de valor sectoriales.</w:t>
      </w:r>
    </w:p>
    <w:p w14:paraId="0B0566EE" w14:textId="77777777" w:rsidR="006D516B" w:rsidRDefault="006D516B" w:rsidP="006D516B">
      <w:pPr>
        <w:jc w:val="both"/>
      </w:pPr>
    </w:p>
    <w:p w14:paraId="1BF73B98" w14:textId="12275C1C" w:rsidR="0030403C" w:rsidRDefault="00A268F8" w:rsidP="006D516B">
      <w:pPr>
        <w:jc w:val="both"/>
        <w:rPr>
          <w:rFonts w:hint="eastAsia"/>
        </w:rPr>
      </w:pPr>
      <w:r>
        <w:t xml:space="preserve">Durante 2025, </w:t>
      </w:r>
      <w:proofErr w:type="spellStart"/>
      <w:r>
        <w:t>el</w:t>
      </w:r>
      <w:proofErr w:type="spellEnd"/>
      <w:r>
        <w:t xml:space="preserve"> conjunto del ecosistema alcanzó 69 empresas y más de 1.600 trabajadores. La elevada ocupación y la demanda empresarial constituyeron el contexto del anuncio de ampliación del Parque mediante un nu</w:t>
      </w:r>
      <w:r>
        <w:t>evo edificio.</w:t>
      </w:r>
    </w:p>
    <w:p w14:paraId="76B605DD" w14:textId="77777777" w:rsidR="0030403C" w:rsidRDefault="00A268F8" w:rsidP="006D516B">
      <w:pPr>
        <w:jc w:val="both"/>
        <w:rPr>
          <w:rFonts w:hint="eastAsia"/>
        </w:rPr>
      </w:pPr>
      <w:r>
        <w:br w:type="page"/>
      </w:r>
    </w:p>
    <w:p w14:paraId="400BF2B6" w14:textId="77777777" w:rsidR="0030403C" w:rsidRPr="00FE0669" w:rsidRDefault="00A268F8">
      <w:pPr>
        <w:pStyle w:val="Ttulo1"/>
        <w:rPr>
          <w:color w:val="31849B" w:themeColor="accent5" w:themeShade="BF"/>
        </w:rPr>
      </w:pPr>
      <w:r w:rsidRPr="00FE0669">
        <w:rPr>
          <w:color w:val="31849B" w:themeColor="accent5" w:themeShade="BF"/>
        </w:rPr>
        <w:lastRenderedPageBreak/>
        <w:t>5. Crecimiento, infraestructuras y servicios en 2025</w:t>
      </w:r>
    </w:p>
    <w:p w14:paraId="35B4AE04" w14:textId="77777777" w:rsidR="006D516B" w:rsidRDefault="006D516B" w:rsidP="006D516B">
      <w:pPr>
        <w:jc w:val="both"/>
      </w:pPr>
    </w:p>
    <w:p w14:paraId="256AFAAC" w14:textId="718C7D6D" w:rsidR="0030403C" w:rsidRDefault="00A268F8" w:rsidP="006D516B">
      <w:pPr>
        <w:jc w:val="both"/>
        <w:rPr>
          <w:rFonts w:hint="eastAsia"/>
        </w:rPr>
      </w:pPr>
      <w:r>
        <w:t xml:space="preserve">El </w:t>
      </w:r>
      <w:proofErr w:type="spellStart"/>
      <w:r>
        <w:t>crecimiento</w:t>
      </w:r>
      <w:proofErr w:type="spellEnd"/>
      <w:r>
        <w:t xml:space="preserve"> </w:t>
      </w:r>
      <w:proofErr w:type="spellStart"/>
      <w:r>
        <w:t>físico</w:t>
      </w:r>
      <w:proofErr w:type="spellEnd"/>
      <w:r>
        <w:t xml:space="preserve"> y la mejora de las capacidades del Parque constituyeron uno de los ejes centrales de 2025. Las actuaciones del ejercicio combinaron inversiones, mejora de servicios </w:t>
      </w:r>
      <w:r>
        <w:t>y preparación de nuevas infraestructuras empresariales.</w:t>
      </w:r>
    </w:p>
    <w:p w14:paraId="141F6810" w14:textId="77777777" w:rsidR="0030403C" w:rsidRDefault="00A268F8" w:rsidP="006D516B">
      <w:pPr>
        <w:pStyle w:val="Ttulo2"/>
        <w:jc w:val="both"/>
      </w:pPr>
      <w:r>
        <w:t>Nuevo edificio y ampliación del PCTCLM</w:t>
      </w:r>
    </w:p>
    <w:p w14:paraId="13E7DD8B" w14:textId="77777777" w:rsidR="0030403C" w:rsidRDefault="00A268F8" w:rsidP="006D516B">
      <w:pPr>
        <w:jc w:val="both"/>
        <w:rPr>
          <w:rFonts w:hint="eastAsia"/>
        </w:rPr>
      </w:pPr>
      <w:r>
        <w:t xml:space="preserve">En octubre se anunció el inicio de los trámites para la ampliación del PCTCLM con un nuevo edificio. En noviembre se concretó una inversión de 8 millones de </w:t>
      </w:r>
      <w:r>
        <w:t>euros para esta actuación. La nueva infraestructura prevé aproximadamente 6.500 m² y 35 módulos empresariales, concebidos para responder a la demanda de instalación de nuevas empresas y a las necesidades de crecimiento del ecosistema.</w:t>
      </w:r>
    </w:p>
    <w:p w14:paraId="412AEC05" w14:textId="77777777" w:rsidR="0030403C" w:rsidRDefault="00A268F8" w:rsidP="006D516B">
      <w:pPr>
        <w:pStyle w:val="Ttulo2"/>
        <w:jc w:val="both"/>
      </w:pPr>
      <w:r>
        <w:t>Mejora de instalacion</w:t>
      </w:r>
      <w:r>
        <w:t>es y equipamiento</w:t>
      </w:r>
    </w:p>
    <w:p w14:paraId="26AD6372" w14:textId="77777777" w:rsidR="0030403C" w:rsidRDefault="00A268F8" w:rsidP="006D516B">
      <w:pPr>
        <w:jc w:val="both"/>
        <w:rPr>
          <w:rFonts w:hint="eastAsia"/>
        </w:rPr>
      </w:pPr>
      <w:r>
        <w:t>Durante el ejercicio se comunicaron mejoras de infraestructuras y equipamiento realizadas con apoyo regional, con una inversión de un millón de euros. Estas actuaciones se integran en una estrategia de actualización continua de los espaci</w:t>
      </w:r>
      <w:r>
        <w:t>os y capacidades del Parque.</w:t>
      </w:r>
    </w:p>
    <w:p w14:paraId="64CCC7E8" w14:textId="77777777" w:rsidR="0030403C" w:rsidRDefault="00A268F8" w:rsidP="006D516B">
      <w:pPr>
        <w:pStyle w:val="Ttulo2"/>
        <w:jc w:val="both"/>
      </w:pPr>
      <w:r>
        <w:t>Centro de Proceso de Datos</w:t>
      </w:r>
    </w:p>
    <w:p w14:paraId="1F1DF1AA" w14:textId="77777777" w:rsidR="0030403C" w:rsidRDefault="00A268F8" w:rsidP="006D516B">
      <w:pPr>
        <w:jc w:val="both"/>
        <w:rPr>
          <w:rFonts w:hint="eastAsia"/>
        </w:rPr>
      </w:pPr>
      <w:r>
        <w:t>En agosto se formalizó un convenio con la Diputación para el alojamiento de equipos en el Centro de Proceso de Datos del PCTCLM, poniendo de manifiesto el valor de esta infraestructura para alojar sis</w:t>
      </w:r>
      <w:r>
        <w:t>temas informáticos y de telecomunicaciones de carácter crítico.</w:t>
      </w:r>
    </w:p>
    <w:p w14:paraId="5ACCCD30" w14:textId="77777777" w:rsidR="0030403C" w:rsidRDefault="00A268F8" w:rsidP="006D516B">
      <w:pPr>
        <w:pStyle w:val="Ttulo2"/>
        <w:jc w:val="both"/>
      </w:pPr>
      <w:r>
        <w:t>Infraestructura científica y movilidad sostenible</w:t>
      </w:r>
    </w:p>
    <w:p w14:paraId="7DE8A0BF" w14:textId="77777777" w:rsidR="0030403C" w:rsidRDefault="00A268F8" w:rsidP="006D516B">
      <w:pPr>
        <w:jc w:val="both"/>
        <w:rPr>
          <w:rFonts w:hint="eastAsia"/>
        </w:rPr>
      </w:pPr>
      <w:r>
        <w:t>En junio, APTE incluyó las infraestructuras científicas del PCTCLM dentro de su Servicio de Valor, reforzando su visibilidad nacional en biote</w:t>
      </w:r>
      <w:r>
        <w:t>cnología, salud y ciencias de la vida. Ese mismo mes se amplió el servicio de recarga para vehículos eléctricos hasta permitir cinco cargas simultáneas.</w:t>
      </w:r>
    </w:p>
    <w:p w14:paraId="606BB852" w14:textId="77777777" w:rsidR="0030403C" w:rsidRDefault="00A268F8" w:rsidP="006D516B">
      <w:pPr>
        <w:jc w:val="both"/>
        <w:rPr>
          <w:rFonts w:hint="eastAsia"/>
        </w:rPr>
      </w:pPr>
      <w:r>
        <w:br w:type="page"/>
      </w:r>
    </w:p>
    <w:p w14:paraId="1F8B0239" w14:textId="6F84AD30" w:rsidR="0030403C" w:rsidRPr="00FE0669" w:rsidRDefault="00A268F8">
      <w:pPr>
        <w:pStyle w:val="Ttulo1"/>
        <w:rPr>
          <w:color w:val="31849B" w:themeColor="accent5" w:themeShade="BF"/>
        </w:rPr>
      </w:pPr>
      <w:r w:rsidRPr="00FE0669">
        <w:rPr>
          <w:color w:val="31849B" w:themeColor="accent5" w:themeShade="BF"/>
        </w:rPr>
        <w:lastRenderedPageBreak/>
        <w:t xml:space="preserve">6. Empresas, emprendimiento y </w:t>
      </w:r>
      <w:proofErr w:type="spellStart"/>
      <w:r w:rsidRPr="00FE0669">
        <w:rPr>
          <w:color w:val="31849B" w:themeColor="accent5" w:themeShade="BF"/>
        </w:rPr>
        <w:t>apoyo</w:t>
      </w:r>
      <w:proofErr w:type="spellEnd"/>
      <w:r w:rsidRPr="00FE0669">
        <w:rPr>
          <w:color w:val="31849B" w:themeColor="accent5" w:themeShade="BF"/>
        </w:rPr>
        <w:t xml:space="preserve"> al </w:t>
      </w:r>
      <w:proofErr w:type="spellStart"/>
      <w:r w:rsidRPr="00FE0669">
        <w:rPr>
          <w:color w:val="31849B" w:themeColor="accent5" w:themeShade="BF"/>
        </w:rPr>
        <w:t>ecosistema</w:t>
      </w:r>
      <w:proofErr w:type="spellEnd"/>
    </w:p>
    <w:p w14:paraId="4FF4ED31" w14:textId="77777777" w:rsidR="006D516B" w:rsidRPr="006D516B" w:rsidRDefault="006D516B" w:rsidP="006D516B"/>
    <w:p w14:paraId="32E115C8" w14:textId="77777777" w:rsidR="0030403C" w:rsidRDefault="00A268F8" w:rsidP="006D516B">
      <w:pPr>
        <w:jc w:val="both"/>
        <w:rPr>
          <w:rFonts w:hint="eastAsia"/>
        </w:rPr>
      </w:pPr>
      <w:r>
        <w:t>El PCTCLM mantuvo durante 2025 una actividad contin</w:t>
      </w:r>
      <w:r>
        <w:t>uada de apoyo y visibilidad al tejido empresarial innovador. La web y las redes sociales se utilizaron para acercar convocatorias, financiación, formación, internacionalización y oportunidades de colaboración.</w:t>
      </w:r>
    </w:p>
    <w:p w14:paraId="000D61AB" w14:textId="77777777" w:rsidR="0030403C" w:rsidRDefault="00A268F8" w:rsidP="006D516B">
      <w:pPr>
        <w:pStyle w:val="Ttulo2"/>
        <w:jc w:val="both"/>
      </w:pPr>
      <w:r>
        <w:t>Visibilidad empresarial</w:t>
      </w:r>
    </w:p>
    <w:p w14:paraId="1C687F97" w14:textId="5BF23F18" w:rsidR="0030403C" w:rsidRDefault="00A268F8" w:rsidP="006D516B">
      <w:pPr>
        <w:jc w:val="both"/>
      </w:pPr>
      <w:r>
        <w:t xml:space="preserve">Entre las </w:t>
      </w:r>
      <w:r>
        <w:t>actuaciones de visibilidad destacó SHAPYPRO, presentada en Transfiere entre las 100 startups más innovadoras seleccionadas por APTE. Asimismo, la inauguración de Treatbrain Therapeutics permitió mostrar un caso de transferencia desde la investigación unive</w:t>
      </w:r>
      <w:r>
        <w:t xml:space="preserve">rsitaria hacia una nueva </w:t>
      </w:r>
      <w:proofErr w:type="spellStart"/>
      <w:r>
        <w:t>empresa</w:t>
      </w:r>
      <w:proofErr w:type="spellEnd"/>
      <w:r>
        <w:t xml:space="preserve"> de </w:t>
      </w:r>
      <w:proofErr w:type="spellStart"/>
      <w:r>
        <w:t>biotecnología</w:t>
      </w:r>
      <w:proofErr w:type="spellEnd"/>
      <w:r>
        <w:t xml:space="preserve"> </w:t>
      </w:r>
      <w:proofErr w:type="spellStart"/>
      <w:r>
        <w:t>oncológica</w:t>
      </w:r>
      <w:proofErr w:type="spellEnd"/>
      <w:r>
        <w:t>.</w:t>
      </w:r>
    </w:p>
    <w:p w14:paraId="776B60A5" w14:textId="6D67A47B" w:rsidR="00A268F8" w:rsidRDefault="00A268F8" w:rsidP="006D516B">
      <w:pPr>
        <w:jc w:val="both"/>
      </w:pPr>
    </w:p>
    <w:p w14:paraId="3C1DFD57" w14:textId="0A6B0411" w:rsidR="00A268F8" w:rsidRDefault="00A268F8" w:rsidP="006D516B">
      <w:pPr>
        <w:jc w:val="both"/>
      </w:pPr>
      <w:r>
        <w:rPr>
          <w:rFonts w:hint="eastAsia"/>
          <w:noProof/>
        </w:rPr>
        <w:drawing>
          <wp:anchor distT="0" distB="0" distL="114300" distR="114300" simplePos="0" relativeHeight="251666432" behindDoc="1" locked="0" layoutInCell="1" allowOverlap="1" wp14:anchorId="0AD371C1" wp14:editId="4687C87B">
            <wp:simplePos x="0" y="0"/>
            <wp:positionH relativeFrom="margin">
              <wp:align>center</wp:align>
            </wp:positionH>
            <wp:positionV relativeFrom="paragraph">
              <wp:posOffset>10160</wp:posOffset>
            </wp:positionV>
            <wp:extent cx="3266342" cy="2176450"/>
            <wp:effectExtent l="0" t="0" r="0" b="0"/>
            <wp:wrapTight wrapText="bothSides">
              <wp:wrapPolygon edited="0">
                <wp:start x="0" y="0"/>
                <wp:lineTo x="0" y="21367"/>
                <wp:lineTo x="21419" y="21367"/>
                <wp:lineTo x="21419"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6342" cy="2176450"/>
                    </a:xfrm>
                    <a:prstGeom prst="rect">
                      <a:avLst/>
                    </a:prstGeom>
                    <a:noFill/>
                  </pic:spPr>
                </pic:pic>
              </a:graphicData>
            </a:graphic>
          </wp:anchor>
        </w:drawing>
      </w:r>
    </w:p>
    <w:p w14:paraId="678BAC10" w14:textId="7BE7E5E2" w:rsidR="00A268F8" w:rsidRDefault="00A268F8" w:rsidP="006D516B">
      <w:pPr>
        <w:jc w:val="both"/>
      </w:pPr>
    </w:p>
    <w:p w14:paraId="76AC0DEB" w14:textId="419ED599" w:rsidR="00A268F8" w:rsidRDefault="00A268F8" w:rsidP="006D516B">
      <w:pPr>
        <w:jc w:val="both"/>
      </w:pPr>
    </w:p>
    <w:p w14:paraId="057537B6" w14:textId="7CE6EE85" w:rsidR="00A268F8" w:rsidRDefault="00A268F8" w:rsidP="006D516B">
      <w:pPr>
        <w:jc w:val="both"/>
      </w:pPr>
    </w:p>
    <w:p w14:paraId="4259675E" w14:textId="7ADF4F25" w:rsidR="00A268F8" w:rsidRDefault="00A268F8" w:rsidP="006D516B">
      <w:pPr>
        <w:jc w:val="both"/>
      </w:pPr>
    </w:p>
    <w:p w14:paraId="63EC4203" w14:textId="79AD6BCA" w:rsidR="00A268F8" w:rsidRDefault="00A268F8" w:rsidP="006D516B">
      <w:pPr>
        <w:jc w:val="both"/>
      </w:pPr>
    </w:p>
    <w:p w14:paraId="0D0D2A82" w14:textId="6222FB63" w:rsidR="00A268F8" w:rsidRDefault="00A268F8" w:rsidP="006D516B">
      <w:pPr>
        <w:jc w:val="both"/>
      </w:pPr>
    </w:p>
    <w:p w14:paraId="7312E399" w14:textId="3FE3C26D" w:rsidR="00A268F8" w:rsidRDefault="00A268F8" w:rsidP="006D516B">
      <w:pPr>
        <w:jc w:val="both"/>
      </w:pPr>
    </w:p>
    <w:p w14:paraId="1FA69BF4" w14:textId="55B996A3" w:rsidR="00A268F8" w:rsidRDefault="00A268F8" w:rsidP="006D516B">
      <w:pPr>
        <w:jc w:val="both"/>
      </w:pPr>
    </w:p>
    <w:p w14:paraId="4BD4D17E" w14:textId="77777777" w:rsidR="00A268F8" w:rsidRDefault="00A268F8" w:rsidP="006D516B">
      <w:pPr>
        <w:jc w:val="both"/>
        <w:rPr>
          <w:rFonts w:hint="eastAsia"/>
        </w:rPr>
      </w:pPr>
    </w:p>
    <w:p w14:paraId="6FF38C9C" w14:textId="77777777" w:rsidR="0030403C" w:rsidRDefault="00A268F8" w:rsidP="006D516B">
      <w:pPr>
        <w:pStyle w:val="Ttulo2"/>
        <w:jc w:val="both"/>
      </w:pPr>
      <w:r>
        <w:t>Financiación y programas de apoyo</w:t>
      </w:r>
    </w:p>
    <w:p w14:paraId="6D663275" w14:textId="77777777" w:rsidR="0030403C" w:rsidRDefault="00A268F8" w:rsidP="006D516B">
      <w:pPr>
        <w:jc w:val="both"/>
        <w:rPr>
          <w:rFonts w:hint="eastAsia"/>
        </w:rPr>
      </w:pPr>
      <w:r>
        <w:t>A lo largo del ejercicio se difundieron instrumentos como NEOTEC 2025, Misiones Ciencia e Innovación, ayudas del IPEX para internacionalización, becas para jóve</w:t>
      </w:r>
      <w:r>
        <w:t>nes titulados y diferentes convocatorias de investigación, innovación y transferencia. La web del PCTCLM reforzó así su función como canal de información útil para empresas, startups e investigadores.</w:t>
      </w:r>
    </w:p>
    <w:p w14:paraId="04AAA107" w14:textId="77777777" w:rsidR="0030403C" w:rsidRDefault="00A268F8" w:rsidP="006D516B">
      <w:pPr>
        <w:pStyle w:val="Ttulo2"/>
        <w:jc w:val="both"/>
      </w:pPr>
      <w:r>
        <w:t>Emprendimiento</w:t>
      </w:r>
    </w:p>
    <w:p w14:paraId="20F03A06" w14:textId="77777777" w:rsidR="0030403C" w:rsidRDefault="00A268F8" w:rsidP="006D516B">
      <w:pPr>
        <w:jc w:val="both"/>
        <w:rPr>
          <w:rFonts w:hint="eastAsia"/>
        </w:rPr>
      </w:pPr>
      <w:r>
        <w:t xml:space="preserve">La 13ª edición del Programa Sherpa 2025 </w:t>
      </w:r>
      <w:r>
        <w:t>acercó formación, mentoring, asesoramiento y networking a nuevos proyectos empresariales. El Informe GEM Castilla-La Mancha difundido en diciembre completó este eje con información sobre el entorno regional de emprendimiento.</w:t>
      </w:r>
    </w:p>
    <w:p w14:paraId="3AEEBFA9" w14:textId="77777777" w:rsidR="0030403C" w:rsidRDefault="00A268F8">
      <w:pPr>
        <w:rPr>
          <w:rFonts w:hint="eastAsia"/>
        </w:rPr>
      </w:pPr>
      <w:r>
        <w:br w:type="page"/>
      </w:r>
    </w:p>
    <w:p w14:paraId="743B9B2C" w14:textId="023C5A3B" w:rsidR="0030403C" w:rsidRPr="00FE0669" w:rsidRDefault="00A268F8">
      <w:pPr>
        <w:pStyle w:val="Ttulo1"/>
        <w:rPr>
          <w:color w:val="31849B" w:themeColor="accent5" w:themeShade="BF"/>
        </w:rPr>
      </w:pPr>
      <w:r w:rsidRPr="00FE0669">
        <w:rPr>
          <w:color w:val="31849B" w:themeColor="accent5" w:themeShade="BF"/>
        </w:rPr>
        <w:lastRenderedPageBreak/>
        <w:t xml:space="preserve">7. Investigación, </w:t>
      </w:r>
      <w:proofErr w:type="spellStart"/>
      <w:r w:rsidRPr="00FE0669">
        <w:rPr>
          <w:color w:val="31849B" w:themeColor="accent5" w:themeShade="BF"/>
        </w:rPr>
        <w:t>transferen</w:t>
      </w:r>
      <w:r w:rsidRPr="00FE0669">
        <w:rPr>
          <w:color w:val="31849B" w:themeColor="accent5" w:themeShade="BF"/>
        </w:rPr>
        <w:t>cia</w:t>
      </w:r>
      <w:proofErr w:type="spellEnd"/>
      <w:r w:rsidRPr="00FE0669">
        <w:rPr>
          <w:color w:val="31849B" w:themeColor="accent5" w:themeShade="BF"/>
        </w:rPr>
        <w:t xml:space="preserve"> y </w:t>
      </w:r>
      <w:proofErr w:type="spellStart"/>
      <w:r w:rsidRPr="00FE0669">
        <w:rPr>
          <w:color w:val="31849B" w:themeColor="accent5" w:themeShade="BF"/>
        </w:rPr>
        <w:t>colaboración</w:t>
      </w:r>
      <w:proofErr w:type="spellEnd"/>
      <w:r w:rsidRPr="00FE0669">
        <w:rPr>
          <w:color w:val="31849B" w:themeColor="accent5" w:themeShade="BF"/>
        </w:rPr>
        <w:t xml:space="preserve"> </w:t>
      </w:r>
      <w:proofErr w:type="spellStart"/>
      <w:r w:rsidRPr="00FE0669">
        <w:rPr>
          <w:color w:val="31849B" w:themeColor="accent5" w:themeShade="BF"/>
        </w:rPr>
        <w:t>universitaria</w:t>
      </w:r>
      <w:proofErr w:type="spellEnd"/>
    </w:p>
    <w:p w14:paraId="605E2C59" w14:textId="77777777" w:rsidR="006D516B" w:rsidRPr="006D516B" w:rsidRDefault="006D516B" w:rsidP="006D516B"/>
    <w:p w14:paraId="2DBCCC97" w14:textId="77777777" w:rsidR="0030403C" w:rsidRDefault="00A268F8" w:rsidP="006D516B">
      <w:pPr>
        <w:jc w:val="both"/>
        <w:rPr>
          <w:rFonts w:hint="eastAsia"/>
        </w:rPr>
      </w:pPr>
      <w:r>
        <w:t>La relación con la Universidad de Castilla-La Mancha y la transferencia de conocimiento tuvieron una presencia destacada durante 2025. El PCTCLM actuó como espacio de encuentro entre investigación y empresa y participó en i</w:t>
      </w:r>
      <w:r>
        <w:t>niciativas regionales y europeas orientadas a la colaboración y la valorización del conocimiento.</w:t>
      </w:r>
    </w:p>
    <w:p w14:paraId="3F017C05" w14:textId="77777777" w:rsidR="0030403C" w:rsidRDefault="00A268F8" w:rsidP="006D516B">
      <w:pPr>
        <w:pStyle w:val="Ttulo2"/>
        <w:jc w:val="both"/>
      </w:pPr>
      <w:r>
        <w:t>Financiación europea y transferencia</w:t>
      </w:r>
    </w:p>
    <w:p w14:paraId="36FFAA60" w14:textId="77777777" w:rsidR="0030403C" w:rsidRDefault="00A268F8" w:rsidP="006D516B">
      <w:pPr>
        <w:jc w:val="both"/>
        <w:rPr>
          <w:rFonts w:hint="eastAsia"/>
        </w:rPr>
      </w:pPr>
      <w:r>
        <w:t xml:space="preserve">En febrero, la UCLM presentó en el PCTCLM oportunidades de financiación europea para empresas y vías de colaboración con </w:t>
      </w:r>
      <w:r>
        <w:t>grupos de investigación. En marzo, el proyecto FiveCLM desarrolló jornadas de intercambio de conocimiento sobre innovación abierta y gemelos digitales en ámbitos como agrotech, salud digital, movilidad y energía.</w:t>
      </w:r>
    </w:p>
    <w:p w14:paraId="0938078F" w14:textId="77777777" w:rsidR="0030403C" w:rsidRDefault="00A268F8" w:rsidP="006D516B">
      <w:pPr>
        <w:pStyle w:val="Ttulo2"/>
        <w:jc w:val="both"/>
      </w:pPr>
      <w:r>
        <w:t>Materiales avanzados y redes científicas</w:t>
      </w:r>
    </w:p>
    <w:p w14:paraId="4586B4E4" w14:textId="77777777" w:rsidR="0030403C" w:rsidRDefault="00A268F8" w:rsidP="006D516B">
      <w:pPr>
        <w:jc w:val="both"/>
        <w:rPr>
          <w:rFonts w:hint="eastAsia"/>
        </w:rPr>
      </w:pPr>
      <w:r>
        <w:t>La</w:t>
      </w:r>
      <w:r>
        <w:t xml:space="preserve"> celebración de una Escuela Europea sobre Materiales Avanzados reforzó la conexión del PCTCLM con redes científicas especializadas. También se difundieron convocatorias de equipamiento científico y apoyo al talento investigador.</w:t>
      </w:r>
    </w:p>
    <w:p w14:paraId="5BD674A8" w14:textId="77777777" w:rsidR="0030403C" w:rsidRDefault="00A268F8" w:rsidP="006D516B">
      <w:pPr>
        <w:pStyle w:val="Ttulo2"/>
        <w:jc w:val="both"/>
      </w:pPr>
      <w:r>
        <w:t>Alianza europea COLOURS</w:t>
      </w:r>
    </w:p>
    <w:p w14:paraId="4D46251A" w14:textId="77777777" w:rsidR="0030403C" w:rsidRDefault="00A268F8" w:rsidP="006D516B">
      <w:pPr>
        <w:jc w:val="both"/>
        <w:rPr>
          <w:rFonts w:hint="eastAsia"/>
        </w:rPr>
      </w:pPr>
      <w:r>
        <w:t xml:space="preserve">La </w:t>
      </w:r>
      <w:r>
        <w:t>participación del PCTCLM en la alianza universitaria europea COLOURS se consolidó durante 2025. La iniciativa, presentada en Albacete en octubre, amplía las oportunidades de cooperación internacional, movilidad, investigación y transferencia vinculadas a l</w:t>
      </w:r>
      <w:r>
        <w:t>a UCLM.</w:t>
      </w:r>
    </w:p>
    <w:p w14:paraId="170A28A5" w14:textId="77777777" w:rsidR="0030403C" w:rsidRDefault="00A268F8" w:rsidP="006D516B">
      <w:pPr>
        <w:pStyle w:val="Ttulo2"/>
        <w:jc w:val="both"/>
      </w:pPr>
      <w:r>
        <w:t>TransformaCLM 2025</w:t>
      </w:r>
    </w:p>
    <w:p w14:paraId="7BC5FF61" w14:textId="141EFA9F" w:rsidR="0030403C" w:rsidRDefault="00A268F8" w:rsidP="006D516B">
      <w:pPr>
        <w:jc w:val="both"/>
      </w:pPr>
      <w:r>
        <w:t xml:space="preserve">La segunda edición de TransformaCLM reunió a 300 participantes y 50 empresas, situando la transferencia de conocimiento entre empresa, universidad y centros tecnológicos en el centro de la jornada y favoreciendo el contacto para </w:t>
      </w:r>
      <w:r>
        <w:t xml:space="preserve">el </w:t>
      </w:r>
      <w:proofErr w:type="spellStart"/>
      <w:r>
        <w:t>desarrollo</w:t>
      </w:r>
      <w:proofErr w:type="spellEnd"/>
      <w:r>
        <w:t xml:space="preserve"> de </w:t>
      </w:r>
      <w:proofErr w:type="spellStart"/>
      <w:r>
        <w:t>proyectos</w:t>
      </w:r>
      <w:proofErr w:type="spellEnd"/>
      <w:r>
        <w:t xml:space="preserve"> conjuntos.</w:t>
      </w:r>
    </w:p>
    <w:p w14:paraId="038164B5" w14:textId="1601170C" w:rsidR="00B5055F" w:rsidRDefault="00B5055F" w:rsidP="006D516B">
      <w:pPr>
        <w:jc w:val="both"/>
      </w:pPr>
    </w:p>
    <w:p w14:paraId="42DDF00A" w14:textId="59CB4A81" w:rsidR="00B5055F" w:rsidRDefault="00B5055F" w:rsidP="006D516B">
      <w:pPr>
        <w:jc w:val="both"/>
      </w:pPr>
      <w:r>
        <w:rPr>
          <w:rFonts w:hint="eastAsia"/>
          <w:noProof/>
        </w:rPr>
        <w:drawing>
          <wp:anchor distT="0" distB="0" distL="114300" distR="114300" simplePos="0" relativeHeight="251665408" behindDoc="1" locked="0" layoutInCell="1" allowOverlap="1" wp14:anchorId="4967D680" wp14:editId="009C66AE">
            <wp:simplePos x="0" y="0"/>
            <wp:positionH relativeFrom="margin">
              <wp:align>center</wp:align>
            </wp:positionH>
            <wp:positionV relativeFrom="paragraph">
              <wp:posOffset>224155</wp:posOffset>
            </wp:positionV>
            <wp:extent cx="4362450" cy="2452370"/>
            <wp:effectExtent l="0" t="0" r="0" b="5080"/>
            <wp:wrapTight wrapText="bothSides">
              <wp:wrapPolygon edited="0">
                <wp:start x="0" y="0"/>
                <wp:lineTo x="0" y="21477"/>
                <wp:lineTo x="21506" y="21477"/>
                <wp:lineTo x="21506"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62450" cy="2452370"/>
                    </a:xfrm>
                    <a:prstGeom prst="rect">
                      <a:avLst/>
                    </a:prstGeom>
                    <a:noFill/>
                  </pic:spPr>
                </pic:pic>
              </a:graphicData>
            </a:graphic>
            <wp14:sizeRelH relativeFrom="margin">
              <wp14:pctWidth>0</wp14:pctWidth>
            </wp14:sizeRelH>
            <wp14:sizeRelV relativeFrom="margin">
              <wp14:pctHeight>0</wp14:pctHeight>
            </wp14:sizeRelV>
          </wp:anchor>
        </w:drawing>
      </w:r>
    </w:p>
    <w:p w14:paraId="7C166BF4" w14:textId="03385B2B" w:rsidR="00B5055F" w:rsidRDefault="00B5055F" w:rsidP="006D516B">
      <w:pPr>
        <w:jc w:val="both"/>
      </w:pPr>
    </w:p>
    <w:p w14:paraId="240E26E9" w14:textId="4DF78B84" w:rsidR="00B5055F" w:rsidRDefault="00B5055F" w:rsidP="006D516B">
      <w:pPr>
        <w:jc w:val="both"/>
      </w:pPr>
    </w:p>
    <w:p w14:paraId="2CB033C0" w14:textId="65AF8B75" w:rsidR="00B5055F" w:rsidRDefault="00B5055F" w:rsidP="006D516B">
      <w:pPr>
        <w:jc w:val="both"/>
      </w:pPr>
    </w:p>
    <w:p w14:paraId="1A86010A" w14:textId="21E2A7F0" w:rsidR="00B5055F" w:rsidRDefault="00B5055F" w:rsidP="006D516B">
      <w:pPr>
        <w:jc w:val="both"/>
      </w:pPr>
    </w:p>
    <w:p w14:paraId="0F516AB9" w14:textId="4177E817" w:rsidR="00B5055F" w:rsidRDefault="00B5055F" w:rsidP="006D516B">
      <w:pPr>
        <w:jc w:val="both"/>
      </w:pPr>
    </w:p>
    <w:p w14:paraId="300F8CA1" w14:textId="5F92C0E5" w:rsidR="00B5055F" w:rsidRDefault="00B5055F" w:rsidP="006D516B">
      <w:pPr>
        <w:jc w:val="both"/>
      </w:pPr>
    </w:p>
    <w:p w14:paraId="1BFF0B2D" w14:textId="225C8C19" w:rsidR="00B5055F" w:rsidRDefault="00B5055F" w:rsidP="006D516B">
      <w:pPr>
        <w:jc w:val="both"/>
      </w:pPr>
    </w:p>
    <w:p w14:paraId="53777140" w14:textId="4C8B5187" w:rsidR="00B5055F" w:rsidRDefault="00B5055F" w:rsidP="006D516B">
      <w:pPr>
        <w:jc w:val="both"/>
      </w:pPr>
    </w:p>
    <w:p w14:paraId="17C38A47" w14:textId="439C7E4A" w:rsidR="00B5055F" w:rsidRDefault="00B5055F" w:rsidP="006D516B">
      <w:pPr>
        <w:jc w:val="both"/>
      </w:pPr>
    </w:p>
    <w:p w14:paraId="65A5B512" w14:textId="21206BBA" w:rsidR="00B5055F" w:rsidRDefault="00B5055F" w:rsidP="006D516B">
      <w:pPr>
        <w:jc w:val="both"/>
      </w:pPr>
    </w:p>
    <w:p w14:paraId="73D17F88" w14:textId="77777777" w:rsidR="00B5055F" w:rsidRDefault="00B5055F" w:rsidP="006D516B">
      <w:pPr>
        <w:jc w:val="both"/>
        <w:rPr>
          <w:rFonts w:hint="eastAsia"/>
        </w:rPr>
      </w:pPr>
    </w:p>
    <w:p w14:paraId="26DC406C" w14:textId="284079BF" w:rsidR="0030403C" w:rsidRPr="00FE0669" w:rsidRDefault="00A268F8">
      <w:pPr>
        <w:pStyle w:val="Ttulo1"/>
        <w:rPr>
          <w:color w:val="31849B" w:themeColor="accent5" w:themeShade="BF"/>
        </w:rPr>
      </w:pPr>
      <w:r w:rsidRPr="00FE0669">
        <w:rPr>
          <w:color w:val="31849B" w:themeColor="accent5" w:themeShade="BF"/>
        </w:rPr>
        <w:lastRenderedPageBreak/>
        <w:t xml:space="preserve">8. </w:t>
      </w:r>
      <w:proofErr w:type="spellStart"/>
      <w:r w:rsidRPr="00FE0669">
        <w:rPr>
          <w:color w:val="31849B" w:themeColor="accent5" w:themeShade="BF"/>
        </w:rPr>
        <w:t>Especialización</w:t>
      </w:r>
      <w:proofErr w:type="spellEnd"/>
      <w:r w:rsidRPr="00FE0669">
        <w:rPr>
          <w:color w:val="31849B" w:themeColor="accent5" w:themeShade="BF"/>
        </w:rPr>
        <w:t xml:space="preserve"> </w:t>
      </w:r>
      <w:proofErr w:type="spellStart"/>
      <w:r w:rsidRPr="00FE0669">
        <w:rPr>
          <w:color w:val="31849B" w:themeColor="accent5" w:themeShade="BF"/>
        </w:rPr>
        <w:t>aeroespacial</w:t>
      </w:r>
      <w:proofErr w:type="spellEnd"/>
      <w:r w:rsidRPr="00FE0669">
        <w:rPr>
          <w:color w:val="31849B" w:themeColor="accent5" w:themeShade="BF"/>
        </w:rPr>
        <w:t xml:space="preserve"> y </w:t>
      </w:r>
      <w:proofErr w:type="spellStart"/>
      <w:r w:rsidRPr="00FE0669">
        <w:rPr>
          <w:color w:val="31849B" w:themeColor="accent5" w:themeShade="BF"/>
        </w:rPr>
        <w:t>candidatura</w:t>
      </w:r>
      <w:proofErr w:type="spellEnd"/>
      <w:r w:rsidRPr="00FE0669">
        <w:rPr>
          <w:color w:val="31849B" w:themeColor="accent5" w:themeShade="BF"/>
        </w:rPr>
        <w:t xml:space="preserve"> ESA BIC</w:t>
      </w:r>
    </w:p>
    <w:p w14:paraId="5ED811FB" w14:textId="77777777" w:rsidR="006D516B" w:rsidRPr="006D516B" w:rsidRDefault="006D516B" w:rsidP="006D516B"/>
    <w:p w14:paraId="6AA0299A" w14:textId="77777777" w:rsidR="0030403C" w:rsidRDefault="00A268F8" w:rsidP="006D516B">
      <w:pPr>
        <w:jc w:val="both"/>
        <w:rPr>
          <w:rFonts w:hint="eastAsia"/>
        </w:rPr>
      </w:pPr>
      <w:r>
        <w:t>El ámbito aeronáutico y espacial adquirió durante 2025 un peso creciente dentro de la estrategia y la comunicación del PCTCLM. La candidatura para acoger una incu</w:t>
      </w:r>
      <w:r>
        <w:t>badora de empresas de la Agencia Espacial Europea se convirtió en uno de los proyectos con mayor proyección de futuro del ejercicio.</w:t>
      </w:r>
    </w:p>
    <w:p w14:paraId="1D68E5E5" w14:textId="77777777" w:rsidR="0030403C" w:rsidRDefault="00A268F8" w:rsidP="006D516B">
      <w:pPr>
        <w:pStyle w:val="Ttulo2"/>
        <w:jc w:val="both"/>
      </w:pPr>
      <w:r>
        <w:t>Candidatura ESA BIC</w:t>
      </w:r>
    </w:p>
    <w:p w14:paraId="5C4839B6" w14:textId="4D6CB012" w:rsidR="0030403C" w:rsidRDefault="00A268F8" w:rsidP="006D516B">
      <w:pPr>
        <w:jc w:val="both"/>
      </w:pPr>
      <w:r>
        <w:t>En febrero se comunicó la aspiración de Albacete a convertirse en sede de una incubadora de empresas de</w:t>
      </w:r>
      <w:r>
        <w:t xml:space="preserve"> la Agencia Espacial Europea. A lo largo del año, el PCTCLM reforzó su presencia en foros, redes y actuaciones sectoriales relacionadas con el espacio y la aeronáutica, preparando el entorno institucional y empresarial </w:t>
      </w:r>
      <w:proofErr w:type="spellStart"/>
      <w:r>
        <w:t>necesario</w:t>
      </w:r>
      <w:proofErr w:type="spellEnd"/>
      <w:r>
        <w:t xml:space="preserve"> para la </w:t>
      </w:r>
      <w:proofErr w:type="spellStart"/>
      <w:r>
        <w:t>candidatura</w:t>
      </w:r>
      <w:proofErr w:type="spellEnd"/>
      <w:r>
        <w:t>.</w:t>
      </w:r>
    </w:p>
    <w:p w14:paraId="5DAB6F1D" w14:textId="2ECFC024" w:rsidR="00B5055F" w:rsidRDefault="00B5055F" w:rsidP="006D516B">
      <w:pPr>
        <w:jc w:val="both"/>
      </w:pPr>
      <w:r>
        <w:rPr>
          <w:rFonts w:hint="eastAsia"/>
          <w:noProof/>
        </w:rPr>
        <w:drawing>
          <wp:anchor distT="0" distB="0" distL="114300" distR="114300" simplePos="0" relativeHeight="251663360" behindDoc="1" locked="0" layoutInCell="1" allowOverlap="1" wp14:anchorId="57CAF8A7" wp14:editId="628A10A5">
            <wp:simplePos x="0" y="0"/>
            <wp:positionH relativeFrom="margin">
              <wp:align>center</wp:align>
            </wp:positionH>
            <wp:positionV relativeFrom="paragraph">
              <wp:posOffset>93980</wp:posOffset>
            </wp:positionV>
            <wp:extent cx="3604054" cy="2400300"/>
            <wp:effectExtent l="0" t="0" r="0" b="0"/>
            <wp:wrapTight wrapText="bothSides">
              <wp:wrapPolygon edited="0">
                <wp:start x="0" y="0"/>
                <wp:lineTo x="0" y="21429"/>
                <wp:lineTo x="21467" y="21429"/>
                <wp:lineTo x="21467"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04054" cy="2400300"/>
                    </a:xfrm>
                    <a:prstGeom prst="rect">
                      <a:avLst/>
                    </a:prstGeom>
                    <a:noFill/>
                  </pic:spPr>
                </pic:pic>
              </a:graphicData>
            </a:graphic>
          </wp:anchor>
        </w:drawing>
      </w:r>
    </w:p>
    <w:p w14:paraId="2BA162A3" w14:textId="77777777" w:rsidR="00B5055F" w:rsidRDefault="00B5055F" w:rsidP="006D516B">
      <w:pPr>
        <w:jc w:val="both"/>
      </w:pPr>
    </w:p>
    <w:p w14:paraId="051CA8CC" w14:textId="77777777" w:rsidR="00B5055F" w:rsidRDefault="00B5055F" w:rsidP="006D516B">
      <w:pPr>
        <w:jc w:val="both"/>
      </w:pPr>
    </w:p>
    <w:p w14:paraId="68C10F40" w14:textId="264193E1" w:rsidR="00B5055F" w:rsidRDefault="00B5055F" w:rsidP="006D516B">
      <w:pPr>
        <w:jc w:val="both"/>
      </w:pPr>
    </w:p>
    <w:p w14:paraId="6EFC9B62" w14:textId="730AE30B" w:rsidR="00B5055F" w:rsidRDefault="00B5055F" w:rsidP="006D516B">
      <w:pPr>
        <w:jc w:val="both"/>
      </w:pPr>
    </w:p>
    <w:p w14:paraId="03B4FF28" w14:textId="3277EFC6" w:rsidR="00B5055F" w:rsidRDefault="00B5055F" w:rsidP="006D516B">
      <w:pPr>
        <w:jc w:val="both"/>
      </w:pPr>
    </w:p>
    <w:p w14:paraId="3E365DFA" w14:textId="46C01640" w:rsidR="00B5055F" w:rsidRDefault="00B5055F" w:rsidP="006D516B">
      <w:pPr>
        <w:jc w:val="both"/>
      </w:pPr>
    </w:p>
    <w:p w14:paraId="52226FEA" w14:textId="0E2C359C" w:rsidR="00B5055F" w:rsidRDefault="00B5055F" w:rsidP="006D516B">
      <w:pPr>
        <w:jc w:val="both"/>
      </w:pPr>
    </w:p>
    <w:p w14:paraId="51114DBB" w14:textId="1FDFD148" w:rsidR="00B5055F" w:rsidRDefault="00B5055F" w:rsidP="006D516B">
      <w:pPr>
        <w:jc w:val="both"/>
      </w:pPr>
    </w:p>
    <w:p w14:paraId="686C8288" w14:textId="25D89145" w:rsidR="00B5055F" w:rsidRDefault="00B5055F" w:rsidP="006D516B">
      <w:pPr>
        <w:jc w:val="both"/>
      </w:pPr>
    </w:p>
    <w:p w14:paraId="0049D332" w14:textId="77777777" w:rsidR="00B5055F" w:rsidRDefault="00B5055F" w:rsidP="006D516B">
      <w:pPr>
        <w:jc w:val="both"/>
        <w:rPr>
          <w:rFonts w:hint="eastAsia"/>
        </w:rPr>
      </w:pPr>
    </w:p>
    <w:p w14:paraId="59DAEBCF" w14:textId="77777777" w:rsidR="0030403C" w:rsidRDefault="00A268F8" w:rsidP="006D516B">
      <w:pPr>
        <w:pStyle w:val="Ttulo2"/>
        <w:jc w:val="both"/>
      </w:pPr>
      <w:r>
        <w:t>Agenda</w:t>
      </w:r>
      <w:r>
        <w:t>s estratégicas y PERTE Aeroespacial</w:t>
      </w:r>
    </w:p>
    <w:p w14:paraId="3E95453B" w14:textId="77777777" w:rsidR="0030403C" w:rsidRDefault="00A268F8" w:rsidP="006D516B">
      <w:pPr>
        <w:jc w:val="both"/>
        <w:rPr>
          <w:rFonts w:hint="eastAsia"/>
        </w:rPr>
      </w:pPr>
      <w:r>
        <w:t>El PCTCLM participó en la presentación de las Agendas Estratégicas de I+D+i en Aeronáutica y Espacio y, en junio, en la VI reunión de la Alianza del PERTE Aeroespacial, reforzando su conexión con los principales espacios</w:t>
      </w:r>
      <w:r>
        <w:t xml:space="preserve"> nacionales de coordinación del sector.</w:t>
      </w:r>
    </w:p>
    <w:p w14:paraId="7F8DCAE3" w14:textId="77777777" w:rsidR="0030403C" w:rsidRDefault="00A268F8" w:rsidP="006D516B">
      <w:pPr>
        <w:pStyle w:val="Ttulo2"/>
        <w:jc w:val="both"/>
      </w:pPr>
      <w:r>
        <w:t>Foros y Clúster regional</w:t>
      </w:r>
    </w:p>
    <w:p w14:paraId="7DAD5A3A" w14:textId="77777777" w:rsidR="0030403C" w:rsidRDefault="00A268F8" w:rsidP="006D516B">
      <w:pPr>
        <w:jc w:val="both"/>
        <w:rPr>
          <w:rFonts w:hint="eastAsia"/>
        </w:rPr>
      </w:pPr>
      <w:r>
        <w:t>La presencia en el V Congreso Jurídico-Espacial organizado por AEDAE amplió la participación del Parque hacia los aspectos regulatorios del sector. En julio, la participación en la Asamblea d</w:t>
      </w:r>
      <w:r>
        <w:t>el Clúster Aeronáutico y Espacial de Castilla-La Mancha reforzó la cooperación empresarial y la especialización regional.</w:t>
      </w:r>
    </w:p>
    <w:p w14:paraId="7E6B5555" w14:textId="77777777" w:rsidR="0030403C" w:rsidRDefault="00A268F8" w:rsidP="006D516B">
      <w:pPr>
        <w:pStyle w:val="Ttulo2"/>
        <w:jc w:val="both"/>
      </w:pPr>
      <w:r>
        <w:t>Campus Digital de Airbus Helicopters</w:t>
      </w:r>
    </w:p>
    <w:p w14:paraId="76B59E3A" w14:textId="77777777" w:rsidR="0030403C" w:rsidRDefault="00A268F8" w:rsidP="006D516B">
      <w:pPr>
        <w:jc w:val="both"/>
        <w:rPr>
          <w:rFonts w:hint="eastAsia"/>
        </w:rPr>
      </w:pPr>
      <w:r>
        <w:t>El año cerró con la difusión del desarrollo de un Campus Digital de Airbus Helicopters en Albacet</w:t>
      </w:r>
      <w:r>
        <w:t>e, vinculado a la UCLM y al PCTCLM y especializado en herramientas digitales y ciberseguridad.</w:t>
      </w:r>
    </w:p>
    <w:p w14:paraId="30841D1E" w14:textId="77777777" w:rsidR="0030403C" w:rsidRDefault="00A268F8">
      <w:pPr>
        <w:rPr>
          <w:rFonts w:hint="eastAsia"/>
        </w:rPr>
      </w:pPr>
      <w:r>
        <w:br w:type="page"/>
      </w:r>
    </w:p>
    <w:p w14:paraId="575DE017" w14:textId="2236AFA3" w:rsidR="0030403C" w:rsidRPr="00FE0669" w:rsidRDefault="00A268F8">
      <w:pPr>
        <w:pStyle w:val="Ttulo1"/>
        <w:rPr>
          <w:color w:val="31849B" w:themeColor="accent5" w:themeShade="BF"/>
        </w:rPr>
      </w:pPr>
      <w:r w:rsidRPr="00FE0669">
        <w:rPr>
          <w:color w:val="31849B" w:themeColor="accent5" w:themeShade="BF"/>
        </w:rPr>
        <w:lastRenderedPageBreak/>
        <w:t xml:space="preserve">9. Tecnologías </w:t>
      </w:r>
      <w:proofErr w:type="spellStart"/>
      <w:r w:rsidRPr="00FE0669">
        <w:rPr>
          <w:color w:val="31849B" w:themeColor="accent5" w:themeShade="BF"/>
        </w:rPr>
        <w:t>disruptivas</w:t>
      </w:r>
      <w:proofErr w:type="spellEnd"/>
      <w:r w:rsidRPr="00FE0669">
        <w:rPr>
          <w:color w:val="31849B" w:themeColor="accent5" w:themeShade="BF"/>
        </w:rPr>
        <w:t xml:space="preserve"> y </w:t>
      </w:r>
      <w:proofErr w:type="spellStart"/>
      <w:r w:rsidRPr="00FE0669">
        <w:rPr>
          <w:color w:val="31849B" w:themeColor="accent5" w:themeShade="BF"/>
        </w:rPr>
        <w:t>transformación</w:t>
      </w:r>
      <w:proofErr w:type="spellEnd"/>
      <w:r w:rsidRPr="00FE0669">
        <w:rPr>
          <w:color w:val="31849B" w:themeColor="accent5" w:themeShade="BF"/>
        </w:rPr>
        <w:t xml:space="preserve"> digital</w:t>
      </w:r>
    </w:p>
    <w:p w14:paraId="26FCD7CF" w14:textId="77777777" w:rsidR="006D516B" w:rsidRPr="006D516B" w:rsidRDefault="006D516B" w:rsidP="006D516B"/>
    <w:p w14:paraId="476AA42D" w14:textId="77777777" w:rsidR="0030403C" w:rsidRDefault="00A268F8" w:rsidP="006D516B">
      <w:pPr>
        <w:jc w:val="both"/>
        <w:rPr>
          <w:rFonts w:hint="eastAsia"/>
        </w:rPr>
      </w:pPr>
      <w:r>
        <w:t xml:space="preserve">La inteligencia artificial, la computación cuántica, la ciberseguridad, los datos y la robótica </w:t>
      </w:r>
      <w:r>
        <w:t>fueron contenidos recurrentes durante 2025, reflejando la evolución de las prioridades tecnológicas del ecosistema innovador.</w:t>
      </w:r>
    </w:p>
    <w:p w14:paraId="612939AC" w14:textId="77777777" w:rsidR="0030403C" w:rsidRDefault="00A268F8" w:rsidP="006D516B">
      <w:pPr>
        <w:pStyle w:val="Ttulo2"/>
        <w:jc w:val="both"/>
      </w:pPr>
      <w:r>
        <w:t>Computación cuántica</w:t>
      </w:r>
    </w:p>
    <w:p w14:paraId="059667D6" w14:textId="77777777" w:rsidR="0030403C" w:rsidRDefault="00A268F8" w:rsidP="006D516B">
      <w:pPr>
        <w:jc w:val="both"/>
        <w:rPr>
          <w:rFonts w:hint="eastAsia"/>
        </w:rPr>
      </w:pPr>
      <w:r>
        <w:t>En enero, universidad y empresas debatieron en el PCTCLM sobre computación cuántica. Posteriormente se difund</w:t>
      </w:r>
      <w:r>
        <w:t>ió la estrategia europea para liderar la revolución cuántica, manteniendo el vínculo entre la actividad del Parque y las tendencias tecnológicas de mayor impacto.</w:t>
      </w:r>
    </w:p>
    <w:p w14:paraId="761A22E1" w14:textId="77777777" w:rsidR="0030403C" w:rsidRDefault="00A268F8" w:rsidP="006D516B">
      <w:pPr>
        <w:pStyle w:val="Ttulo2"/>
        <w:jc w:val="both"/>
      </w:pPr>
      <w:r>
        <w:t>Inteligencia artificial y datos</w:t>
      </w:r>
    </w:p>
    <w:p w14:paraId="63B8FD09" w14:textId="77777777" w:rsidR="0030403C" w:rsidRDefault="00A268F8" w:rsidP="006D516B">
      <w:pPr>
        <w:jc w:val="both"/>
        <w:rPr>
          <w:rFonts w:hint="eastAsia"/>
        </w:rPr>
      </w:pPr>
      <w:r>
        <w:t xml:space="preserve">La agenda del año incorporó InvestAI y las estrategias de la </w:t>
      </w:r>
      <w:r>
        <w:t>Comisión Europea para acelerar la adopción de la inteligencia artificial en la industria y la ciencia. También se dio visibilidad a iniciativas regionales relacionadas con datos e IA en sectores estratégicos.</w:t>
      </w:r>
    </w:p>
    <w:p w14:paraId="4AD0204E" w14:textId="77777777" w:rsidR="0030403C" w:rsidRDefault="00A268F8" w:rsidP="006D516B">
      <w:pPr>
        <w:pStyle w:val="Ttulo2"/>
        <w:jc w:val="both"/>
      </w:pPr>
      <w:r>
        <w:t>Robótica, ciberseguridad y convergencia tecnoló</w:t>
      </w:r>
      <w:r>
        <w:t>gica</w:t>
      </w:r>
    </w:p>
    <w:p w14:paraId="2D74289A" w14:textId="269B6430" w:rsidR="0030403C" w:rsidRDefault="00A268F8" w:rsidP="006D516B">
      <w:pPr>
        <w:jc w:val="both"/>
      </w:pPr>
      <w:r>
        <w:t xml:space="preserve">La V </w:t>
      </w:r>
      <w:proofErr w:type="spellStart"/>
      <w:r>
        <w:t>Competición</w:t>
      </w:r>
      <w:proofErr w:type="spellEnd"/>
      <w:r>
        <w:t xml:space="preserve"> de Robótica Intercampus UCLM reunió cerca de 200 estudiantes y 28 equipos con la colaboración del PCTCLM. </w:t>
      </w:r>
    </w:p>
    <w:p w14:paraId="2A0821A0" w14:textId="005D02BD" w:rsidR="00B5055F" w:rsidRDefault="00B5055F" w:rsidP="006D516B">
      <w:pPr>
        <w:jc w:val="both"/>
      </w:pPr>
    </w:p>
    <w:p w14:paraId="0A50B732" w14:textId="524C90D7" w:rsidR="00B5055F" w:rsidRDefault="00B5055F" w:rsidP="006D516B">
      <w:pPr>
        <w:jc w:val="both"/>
      </w:pPr>
      <w:r>
        <w:rPr>
          <w:rFonts w:hint="eastAsia"/>
          <w:noProof/>
        </w:rPr>
        <w:drawing>
          <wp:anchor distT="0" distB="0" distL="114300" distR="114300" simplePos="0" relativeHeight="251664384" behindDoc="1" locked="0" layoutInCell="1" allowOverlap="1" wp14:anchorId="35BB46CD" wp14:editId="242F35FA">
            <wp:simplePos x="0" y="0"/>
            <wp:positionH relativeFrom="column">
              <wp:posOffset>796290</wp:posOffset>
            </wp:positionH>
            <wp:positionV relativeFrom="paragraph">
              <wp:posOffset>4445</wp:posOffset>
            </wp:positionV>
            <wp:extent cx="3952875" cy="2226310"/>
            <wp:effectExtent l="0" t="0" r="9525" b="2540"/>
            <wp:wrapTight wrapText="bothSides">
              <wp:wrapPolygon edited="0">
                <wp:start x="0" y="0"/>
                <wp:lineTo x="0" y="21440"/>
                <wp:lineTo x="21548" y="21440"/>
                <wp:lineTo x="21548" y="0"/>
                <wp:lineTo x="0" y="0"/>
              </wp:wrapPolygon>
            </wp:wrapTight>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52875" cy="2226310"/>
                    </a:xfrm>
                    <a:prstGeom prst="rect">
                      <a:avLst/>
                    </a:prstGeom>
                    <a:noFill/>
                  </pic:spPr>
                </pic:pic>
              </a:graphicData>
            </a:graphic>
            <wp14:sizeRelH relativeFrom="margin">
              <wp14:pctWidth>0</wp14:pctWidth>
            </wp14:sizeRelH>
            <wp14:sizeRelV relativeFrom="margin">
              <wp14:pctHeight>0</wp14:pctHeight>
            </wp14:sizeRelV>
          </wp:anchor>
        </w:drawing>
      </w:r>
    </w:p>
    <w:p w14:paraId="2C38AA5C" w14:textId="31F9CB05" w:rsidR="00B5055F" w:rsidRDefault="00B5055F" w:rsidP="006D516B">
      <w:pPr>
        <w:jc w:val="both"/>
      </w:pPr>
    </w:p>
    <w:p w14:paraId="4BD02EB1" w14:textId="4045D6C1" w:rsidR="00B5055F" w:rsidRDefault="00B5055F" w:rsidP="006D516B">
      <w:pPr>
        <w:jc w:val="both"/>
      </w:pPr>
    </w:p>
    <w:p w14:paraId="5D407B45" w14:textId="0DC5FF9A" w:rsidR="00B5055F" w:rsidRDefault="00B5055F" w:rsidP="006D516B">
      <w:pPr>
        <w:jc w:val="both"/>
      </w:pPr>
    </w:p>
    <w:p w14:paraId="7FEB823F" w14:textId="08F099C9" w:rsidR="00B5055F" w:rsidRDefault="00B5055F" w:rsidP="006D516B">
      <w:pPr>
        <w:jc w:val="both"/>
      </w:pPr>
    </w:p>
    <w:p w14:paraId="114860E8" w14:textId="2F9E857E" w:rsidR="00B5055F" w:rsidRDefault="00B5055F" w:rsidP="006D516B">
      <w:pPr>
        <w:jc w:val="both"/>
      </w:pPr>
    </w:p>
    <w:p w14:paraId="6F73F468" w14:textId="4E743E7B" w:rsidR="00B5055F" w:rsidRDefault="00B5055F" w:rsidP="006D516B">
      <w:pPr>
        <w:jc w:val="both"/>
      </w:pPr>
    </w:p>
    <w:p w14:paraId="5C8DC288" w14:textId="456CD10B" w:rsidR="00B5055F" w:rsidRDefault="00B5055F" w:rsidP="006D516B">
      <w:pPr>
        <w:jc w:val="both"/>
      </w:pPr>
    </w:p>
    <w:p w14:paraId="7A9C7393" w14:textId="77777777" w:rsidR="00B5055F" w:rsidRDefault="00B5055F" w:rsidP="006D516B">
      <w:pPr>
        <w:jc w:val="both"/>
      </w:pPr>
    </w:p>
    <w:p w14:paraId="26A32C36" w14:textId="5CE3E73C" w:rsidR="00B5055F" w:rsidRDefault="00B5055F" w:rsidP="006D516B">
      <w:pPr>
        <w:jc w:val="both"/>
      </w:pPr>
    </w:p>
    <w:p w14:paraId="2E2ADDE9" w14:textId="325F5516" w:rsidR="00B5055F" w:rsidRDefault="00B5055F" w:rsidP="006D516B">
      <w:pPr>
        <w:jc w:val="both"/>
        <w:rPr>
          <w:rFonts w:hint="eastAsia"/>
        </w:rPr>
      </w:pPr>
      <w:r>
        <w:t xml:space="preserve">A final de año, la V Asamblea de DISRUPTIVE puso el foco en la </w:t>
      </w:r>
      <w:proofErr w:type="spellStart"/>
      <w:r>
        <w:t>convergencia</w:t>
      </w:r>
      <w:proofErr w:type="spellEnd"/>
      <w:r>
        <w:t xml:space="preserve"> de IA, 5G, </w:t>
      </w:r>
      <w:proofErr w:type="spellStart"/>
      <w:r>
        <w:t>ciberseguridad</w:t>
      </w:r>
      <w:proofErr w:type="spellEnd"/>
      <w:r>
        <w:t xml:space="preserve">, blockchain y </w:t>
      </w:r>
      <w:proofErr w:type="spellStart"/>
      <w:r>
        <w:t>computación</w:t>
      </w:r>
      <w:proofErr w:type="spellEnd"/>
      <w:r>
        <w:t xml:space="preserve"> </w:t>
      </w:r>
      <w:proofErr w:type="spellStart"/>
      <w:r>
        <w:t>cuántica</w:t>
      </w:r>
      <w:proofErr w:type="spellEnd"/>
      <w:r>
        <w:t>.</w:t>
      </w:r>
    </w:p>
    <w:p w14:paraId="5C4674BC" w14:textId="77777777" w:rsidR="0030403C" w:rsidRDefault="00A268F8">
      <w:pPr>
        <w:rPr>
          <w:rFonts w:hint="eastAsia"/>
        </w:rPr>
      </w:pPr>
      <w:r>
        <w:br w:type="page"/>
      </w:r>
    </w:p>
    <w:p w14:paraId="15F93381" w14:textId="4CEFE0A3" w:rsidR="0030403C" w:rsidRPr="00FE0669" w:rsidRDefault="00A268F8">
      <w:pPr>
        <w:pStyle w:val="Ttulo1"/>
        <w:rPr>
          <w:color w:val="31849B" w:themeColor="accent5" w:themeShade="BF"/>
        </w:rPr>
      </w:pPr>
      <w:r w:rsidRPr="00FE0669">
        <w:rPr>
          <w:color w:val="31849B" w:themeColor="accent5" w:themeShade="BF"/>
        </w:rPr>
        <w:lastRenderedPageBreak/>
        <w:t xml:space="preserve">10. Divulgación </w:t>
      </w:r>
      <w:proofErr w:type="spellStart"/>
      <w:r w:rsidRPr="00FE0669">
        <w:rPr>
          <w:color w:val="31849B" w:themeColor="accent5" w:themeShade="BF"/>
        </w:rPr>
        <w:t>científica</w:t>
      </w:r>
      <w:proofErr w:type="spellEnd"/>
      <w:r w:rsidRPr="00FE0669">
        <w:rPr>
          <w:color w:val="31849B" w:themeColor="accent5" w:themeShade="BF"/>
        </w:rPr>
        <w:t xml:space="preserve">, </w:t>
      </w:r>
      <w:proofErr w:type="spellStart"/>
      <w:r w:rsidRPr="00FE0669">
        <w:rPr>
          <w:color w:val="31849B" w:themeColor="accent5" w:themeShade="BF"/>
        </w:rPr>
        <w:t>talento</w:t>
      </w:r>
      <w:proofErr w:type="spellEnd"/>
      <w:r w:rsidRPr="00FE0669">
        <w:rPr>
          <w:color w:val="31849B" w:themeColor="accent5" w:themeShade="BF"/>
        </w:rPr>
        <w:t xml:space="preserve"> y </w:t>
      </w:r>
      <w:proofErr w:type="spellStart"/>
      <w:r w:rsidRPr="00FE0669">
        <w:rPr>
          <w:color w:val="31849B" w:themeColor="accent5" w:themeShade="BF"/>
        </w:rPr>
        <w:t>formación</w:t>
      </w:r>
      <w:proofErr w:type="spellEnd"/>
    </w:p>
    <w:p w14:paraId="2989AF26" w14:textId="77777777" w:rsidR="006D516B" w:rsidRPr="006D516B" w:rsidRDefault="006D516B" w:rsidP="006D516B">
      <w:pPr>
        <w:jc w:val="both"/>
      </w:pPr>
    </w:p>
    <w:p w14:paraId="1439A239" w14:textId="77777777" w:rsidR="0030403C" w:rsidRDefault="00A268F8" w:rsidP="006D516B">
      <w:pPr>
        <w:jc w:val="both"/>
        <w:rPr>
          <w:rFonts w:hint="eastAsia"/>
        </w:rPr>
      </w:pPr>
      <w:r>
        <w:t xml:space="preserve">La divulgación científica y el fomento de vocaciones tecnológicas mantuvieron una presencia relevante en 2025, combinando actividades dirigidas a estudiantes con formación digital y </w:t>
      </w:r>
      <w:r>
        <w:t>difusión de oportunidades para investigadores y profesionales.</w:t>
      </w:r>
    </w:p>
    <w:p w14:paraId="02112DB1" w14:textId="77777777" w:rsidR="0030403C" w:rsidRDefault="00A268F8" w:rsidP="006D516B">
      <w:pPr>
        <w:pStyle w:val="Ttulo2"/>
        <w:jc w:val="both"/>
      </w:pPr>
      <w:r>
        <w:t>Mujer y Niña en la Ciencia</w:t>
      </w:r>
    </w:p>
    <w:p w14:paraId="68128FA1" w14:textId="4BAEE63C" w:rsidR="0030403C" w:rsidRDefault="00A268F8" w:rsidP="006D516B">
      <w:pPr>
        <w:jc w:val="both"/>
      </w:pPr>
      <w:r>
        <w:t xml:space="preserve">La conmemoración del 11 de febrero volvió a servir para visibilizar el emprendimiento femenino STEM y acercar referentes científicos y </w:t>
      </w:r>
      <w:proofErr w:type="spellStart"/>
      <w:r>
        <w:t>tecnológicos</w:t>
      </w:r>
      <w:proofErr w:type="spellEnd"/>
      <w:r>
        <w:t xml:space="preserve"> al </w:t>
      </w:r>
      <w:proofErr w:type="spellStart"/>
      <w:r>
        <w:t>alumnado</w:t>
      </w:r>
      <w:proofErr w:type="spellEnd"/>
      <w:r>
        <w:t>.</w:t>
      </w:r>
    </w:p>
    <w:p w14:paraId="0FC37586" w14:textId="5FE14E99" w:rsidR="0049168D" w:rsidRDefault="0049168D" w:rsidP="006D516B">
      <w:pPr>
        <w:jc w:val="both"/>
      </w:pPr>
      <w:r>
        <w:rPr>
          <w:rFonts w:hint="eastAsia"/>
          <w:noProof/>
        </w:rPr>
        <w:drawing>
          <wp:anchor distT="0" distB="0" distL="114300" distR="114300" simplePos="0" relativeHeight="251660288" behindDoc="1" locked="0" layoutInCell="1" allowOverlap="1" wp14:anchorId="3CD35487" wp14:editId="773B036F">
            <wp:simplePos x="0" y="0"/>
            <wp:positionH relativeFrom="margin">
              <wp:posOffset>1700530</wp:posOffset>
            </wp:positionH>
            <wp:positionV relativeFrom="paragraph">
              <wp:posOffset>173355</wp:posOffset>
            </wp:positionV>
            <wp:extent cx="3336290" cy="2667000"/>
            <wp:effectExtent l="0" t="0" r="0" b="0"/>
            <wp:wrapTight wrapText="bothSides">
              <wp:wrapPolygon edited="0">
                <wp:start x="0" y="0"/>
                <wp:lineTo x="0" y="21446"/>
                <wp:lineTo x="21460" y="21446"/>
                <wp:lineTo x="21460"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36290" cy="2667000"/>
                    </a:xfrm>
                    <a:prstGeom prst="rect">
                      <a:avLst/>
                    </a:prstGeom>
                    <a:noFill/>
                  </pic:spPr>
                </pic:pic>
              </a:graphicData>
            </a:graphic>
            <wp14:sizeRelH relativeFrom="margin">
              <wp14:pctWidth>0</wp14:pctWidth>
            </wp14:sizeRelH>
            <wp14:sizeRelV relativeFrom="margin">
              <wp14:pctHeight>0</wp14:pctHeight>
            </wp14:sizeRelV>
          </wp:anchor>
        </w:drawing>
      </w:r>
    </w:p>
    <w:p w14:paraId="4E3561AD" w14:textId="6DE406AF" w:rsidR="0049168D" w:rsidRDefault="0049168D" w:rsidP="006D516B">
      <w:pPr>
        <w:jc w:val="both"/>
      </w:pPr>
    </w:p>
    <w:p w14:paraId="67D137FF" w14:textId="453BCF4B" w:rsidR="0049168D" w:rsidRDefault="0049168D" w:rsidP="006D516B">
      <w:pPr>
        <w:jc w:val="both"/>
      </w:pPr>
    </w:p>
    <w:p w14:paraId="228C3D33" w14:textId="791495E8" w:rsidR="0049168D" w:rsidRDefault="0049168D" w:rsidP="006D516B">
      <w:pPr>
        <w:jc w:val="both"/>
      </w:pPr>
    </w:p>
    <w:p w14:paraId="25C7D0F5" w14:textId="7DA7FB3A" w:rsidR="0049168D" w:rsidRDefault="0049168D" w:rsidP="006D516B">
      <w:pPr>
        <w:jc w:val="both"/>
      </w:pPr>
    </w:p>
    <w:p w14:paraId="305DD110" w14:textId="1A2A295B" w:rsidR="0049168D" w:rsidRDefault="0049168D" w:rsidP="006D516B">
      <w:pPr>
        <w:jc w:val="both"/>
      </w:pPr>
    </w:p>
    <w:p w14:paraId="5E815A07" w14:textId="2367B3CF" w:rsidR="0049168D" w:rsidRDefault="0049168D" w:rsidP="006D516B">
      <w:pPr>
        <w:jc w:val="both"/>
      </w:pPr>
    </w:p>
    <w:p w14:paraId="5C69C9F0" w14:textId="6174EFCD" w:rsidR="0049168D" w:rsidRDefault="0049168D" w:rsidP="006D516B">
      <w:pPr>
        <w:jc w:val="both"/>
      </w:pPr>
    </w:p>
    <w:p w14:paraId="5E206FBA" w14:textId="1D6B0DC3" w:rsidR="0049168D" w:rsidRDefault="0049168D" w:rsidP="006D516B">
      <w:pPr>
        <w:jc w:val="both"/>
      </w:pPr>
    </w:p>
    <w:p w14:paraId="2EFBA77D" w14:textId="0755425A" w:rsidR="0049168D" w:rsidRDefault="0049168D" w:rsidP="006D516B">
      <w:pPr>
        <w:jc w:val="both"/>
      </w:pPr>
    </w:p>
    <w:p w14:paraId="6CDF254C" w14:textId="2DFFC225" w:rsidR="0049168D" w:rsidRDefault="0049168D" w:rsidP="006D516B">
      <w:pPr>
        <w:jc w:val="both"/>
      </w:pPr>
    </w:p>
    <w:p w14:paraId="47C7DE62" w14:textId="22CD780E" w:rsidR="0049168D" w:rsidRDefault="0049168D" w:rsidP="006D516B">
      <w:pPr>
        <w:jc w:val="both"/>
      </w:pPr>
    </w:p>
    <w:p w14:paraId="3F8367C9" w14:textId="77777777" w:rsidR="0049168D" w:rsidRDefault="0049168D" w:rsidP="006D516B">
      <w:pPr>
        <w:jc w:val="both"/>
        <w:rPr>
          <w:rFonts w:hint="eastAsia"/>
        </w:rPr>
      </w:pPr>
    </w:p>
    <w:p w14:paraId="2B1CF367" w14:textId="77777777" w:rsidR="0030403C" w:rsidRDefault="00A268F8" w:rsidP="006D516B">
      <w:pPr>
        <w:pStyle w:val="Ttulo2"/>
        <w:jc w:val="both"/>
      </w:pPr>
      <w:r>
        <w:t>Activ</w:t>
      </w:r>
      <w:r>
        <w:t>idades STEAM</w:t>
      </w:r>
    </w:p>
    <w:p w14:paraId="10B26DB8" w14:textId="77777777" w:rsidR="0030403C" w:rsidRDefault="00A268F8" w:rsidP="006D516B">
      <w:pPr>
        <w:jc w:val="both"/>
        <w:rPr>
          <w:rFonts w:hint="eastAsia"/>
        </w:rPr>
      </w:pPr>
      <w:r>
        <w:t>Las actividades STEAM4girls y EDUMAT+ alcanzaron a 4.757 estudiantes de Primaria y Secundaria de las cinco provincias de Castilla-La Mancha, reforzando el alcance regional de las acciones de divulgación.</w:t>
      </w:r>
    </w:p>
    <w:p w14:paraId="5E7CBDBD" w14:textId="221107CB" w:rsidR="0030403C" w:rsidRPr="00FE0669" w:rsidRDefault="00A268F8">
      <w:pPr>
        <w:pStyle w:val="Ttulo1"/>
        <w:rPr>
          <w:color w:val="31849B" w:themeColor="accent5" w:themeShade="BF"/>
        </w:rPr>
      </w:pPr>
      <w:r w:rsidRPr="00FE0669">
        <w:rPr>
          <w:color w:val="31849B" w:themeColor="accent5" w:themeShade="BF"/>
        </w:rPr>
        <w:t xml:space="preserve">11. Sostenibilidad, </w:t>
      </w:r>
      <w:proofErr w:type="spellStart"/>
      <w:r w:rsidRPr="00FE0669">
        <w:rPr>
          <w:color w:val="31849B" w:themeColor="accent5" w:themeShade="BF"/>
        </w:rPr>
        <w:t>bienestar</w:t>
      </w:r>
      <w:proofErr w:type="spellEnd"/>
      <w:r w:rsidRPr="00FE0669">
        <w:rPr>
          <w:color w:val="31849B" w:themeColor="accent5" w:themeShade="BF"/>
        </w:rPr>
        <w:t xml:space="preserve"> y </w:t>
      </w:r>
      <w:proofErr w:type="spellStart"/>
      <w:r w:rsidRPr="00FE0669">
        <w:rPr>
          <w:color w:val="31849B" w:themeColor="accent5" w:themeShade="BF"/>
        </w:rPr>
        <w:t>comunidad</w:t>
      </w:r>
      <w:proofErr w:type="spellEnd"/>
      <w:r w:rsidRPr="00FE0669">
        <w:rPr>
          <w:color w:val="31849B" w:themeColor="accent5" w:themeShade="BF"/>
        </w:rPr>
        <w:t xml:space="preserve"> PCTCLM</w:t>
      </w:r>
    </w:p>
    <w:p w14:paraId="0264B910" w14:textId="77777777" w:rsidR="006D516B" w:rsidRPr="006D516B" w:rsidRDefault="006D516B" w:rsidP="006D516B"/>
    <w:p w14:paraId="7287D413" w14:textId="77777777" w:rsidR="0030403C" w:rsidRDefault="00A268F8" w:rsidP="006D516B">
      <w:pPr>
        <w:jc w:val="both"/>
        <w:rPr>
          <w:rFonts w:hint="eastAsia"/>
        </w:rPr>
      </w:pPr>
      <w:r>
        <w:t xml:space="preserve">La actividad del Parque incorpora también actuaciones orientadas al bienestar de las personas que trabajan en las </w:t>
      </w:r>
      <w:r>
        <w:t>empresas alojadas, la convivencia y la sostenibilidad de los espacios.</w:t>
      </w:r>
    </w:p>
    <w:p w14:paraId="5FDFC3A1" w14:textId="77777777" w:rsidR="0030403C" w:rsidRDefault="00A268F8" w:rsidP="006D516B">
      <w:pPr>
        <w:pStyle w:val="Ttulo2"/>
        <w:jc w:val="both"/>
      </w:pPr>
      <w:r>
        <w:t>Bienestar y hábitos saludables</w:t>
      </w:r>
    </w:p>
    <w:p w14:paraId="2660D287" w14:textId="2F31546D" w:rsidR="0030403C" w:rsidRDefault="00A268F8" w:rsidP="006D516B">
      <w:pPr>
        <w:jc w:val="both"/>
      </w:pPr>
      <w:r>
        <w:t>La colaboración con Fundación MAPFRE permitió desarrollar talleres sobre hábitos saludables, bienestar emocional, alimentación, sueño y productividad pers</w:t>
      </w:r>
      <w:r>
        <w:t xml:space="preserve">onal dirigidos a </w:t>
      </w:r>
      <w:proofErr w:type="spellStart"/>
      <w:r>
        <w:t>trabajadores</w:t>
      </w:r>
      <w:proofErr w:type="spellEnd"/>
      <w:r>
        <w:t xml:space="preserve"> del PCTCLM.</w:t>
      </w:r>
    </w:p>
    <w:p w14:paraId="12809B3D" w14:textId="77777777" w:rsidR="0049168D" w:rsidRDefault="0049168D" w:rsidP="006D516B">
      <w:pPr>
        <w:jc w:val="both"/>
        <w:rPr>
          <w:rFonts w:hint="eastAsia"/>
        </w:rPr>
      </w:pPr>
    </w:p>
    <w:p w14:paraId="6B79531E" w14:textId="77777777" w:rsidR="0030403C" w:rsidRDefault="00A268F8" w:rsidP="006D516B">
      <w:pPr>
        <w:pStyle w:val="Ttulo2"/>
        <w:jc w:val="both"/>
      </w:pPr>
      <w:r>
        <w:lastRenderedPageBreak/>
        <w:t>Deporte y comunidad</w:t>
      </w:r>
    </w:p>
    <w:p w14:paraId="28768A14" w14:textId="6AD02B21" w:rsidR="0030403C" w:rsidRDefault="00A268F8" w:rsidP="006D516B">
      <w:pPr>
        <w:jc w:val="both"/>
      </w:pPr>
      <w:r>
        <w:t xml:space="preserve">El II Torneo Deportivo del PCTCLM reunió a 106 participantes de empresas del ecosistema en fútbol sala y pádel. Estas actividades favorecen la convivencia, el conocimiento entre profesionales y </w:t>
      </w:r>
      <w:r>
        <w:t xml:space="preserve">la creación de relaciones </w:t>
      </w:r>
      <w:proofErr w:type="spellStart"/>
      <w:r>
        <w:t>informales</w:t>
      </w:r>
      <w:proofErr w:type="spellEnd"/>
      <w:r>
        <w:t xml:space="preserve"> dentro del Parque.</w:t>
      </w:r>
    </w:p>
    <w:p w14:paraId="4F138520" w14:textId="3AE70B72" w:rsidR="0049168D" w:rsidRDefault="0049168D" w:rsidP="006D516B">
      <w:pPr>
        <w:jc w:val="both"/>
      </w:pPr>
    </w:p>
    <w:p w14:paraId="4CAEE0B1" w14:textId="6602E53F" w:rsidR="0049168D" w:rsidRDefault="0049168D" w:rsidP="006D516B">
      <w:pPr>
        <w:jc w:val="both"/>
      </w:pPr>
      <w:r>
        <w:rPr>
          <w:rFonts w:hint="eastAsia"/>
          <w:noProof/>
        </w:rPr>
        <w:drawing>
          <wp:anchor distT="0" distB="0" distL="114300" distR="114300" simplePos="0" relativeHeight="251662336" behindDoc="1" locked="0" layoutInCell="1" allowOverlap="1" wp14:anchorId="57935B32" wp14:editId="6FEC5955">
            <wp:simplePos x="0" y="0"/>
            <wp:positionH relativeFrom="column">
              <wp:posOffset>-3810</wp:posOffset>
            </wp:positionH>
            <wp:positionV relativeFrom="paragraph">
              <wp:posOffset>3175</wp:posOffset>
            </wp:positionV>
            <wp:extent cx="4294654" cy="2085975"/>
            <wp:effectExtent l="0" t="0" r="0" b="0"/>
            <wp:wrapTight wrapText="bothSides">
              <wp:wrapPolygon edited="0">
                <wp:start x="0" y="0"/>
                <wp:lineTo x="0" y="21304"/>
                <wp:lineTo x="21463" y="21304"/>
                <wp:lineTo x="21463"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94654" cy="2085975"/>
                    </a:xfrm>
                    <a:prstGeom prst="rect">
                      <a:avLst/>
                    </a:prstGeom>
                    <a:noFill/>
                  </pic:spPr>
                </pic:pic>
              </a:graphicData>
            </a:graphic>
          </wp:anchor>
        </w:drawing>
      </w:r>
    </w:p>
    <w:p w14:paraId="40C9BCB3" w14:textId="6917B69F" w:rsidR="0049168D" w:rsidRDefault="0049168D" w:rsidP="006D516B">
      <w:pPr>
        <w:jc w:val="both"/>
      </w:pPr>
    </w:p>
    <w:p w14:paraId="4DC5CE73" w14:textId="5FDA7572" w:rsidR="0049168D" w:rsidRDefault="0049168D" w:rsidP="006D516B">
      <w:pPr>
        <w:jc w:val="both"/>
      </w:pPr>
    </w:p>
    <w:p w14:paraId="5AD87905" w14:textId="5D2C6590" w:rsidR="0049168D" w:rsidRDefault="0049168D" w:rsidP="006D516B">
      <w:pPr>
        <w:jc w:val="both"/>
      </w:pPr>
    </w:p>
    <w:p w14:paraId="6052121D" w14:textId="0C6F2CE5" w:rsidR="0049168D" w:rsidRDefault="0049168D" w:rsidP="006D516B">
      <w:pPr>
        <w:jc w:val="both"/>
      </w:pPr>
    </w:p>
    <w:p w14:paraId="285488F0" w14:textId="0E9F4F3A" w:rsidR="0049168D" w:rsidRDefault="0049168D" w:rsidP="006D516B">
      <w:pPr>
        <w:jc w:val="both"/>
      </w:pPr>
    </w:p>
    <w:p w14:paraId="446BA0AA" w14:textId="0B413D80" w:rsidR="0049168D" w:rsidRDefault="0049168D" w:rsidP="006D516B">
      <w:pPr>
        <w:jc w:val="both"/>
      </w:pPr>
      <w:r>
        <w:rPr>
          <w:rFonts w:hint="eastAsia"/>
          <w:noProof/>
        </w:rPr>
        <w:drawing>
          <wp:anchor distT="0" distB="0" distL="114300" distR="114300" simplePos="0" relativeHeight="251661312" behindDoc="1" locked="0" layoutInCell="1" allowOverlap="1" wp14:anchorId="36EE3BA6" wp14:editId="60E11876">
            <wp:simplePos x="0" y="0"/>
            <wp:positionH relativeFrom="margin">
              <wp:align>right</wp:align>
            </wp:positionH>
            <wp:positionV relativeFrom="paragraph">
              <wp:posOffset>280670</wp:posOffset>
            </wp:positionV>
            <wp:extent cx="3155950" cy="2366963"/>
            <wp:effectExtent l="0" t="0" r="6350" b="0"/>
            <wp:wrapTight wrapText="bothSides">
              <wp:wrapPolygon edited="0">
                <wp:start x="0" y="0"/>
                <wp:lineTo x="0" y="21386"/>
                <wp:lineTo x="21513" y="21386"/>
                <wp:lineTo x="21513"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55950" cy="2366963"/>
                    </a:xfrm>
                    <a:prstGeom prst="rect">
                      <a:avLst/>
                    </a:prstGeom>
                    <a:noFill/>
                  </pic:spPr>
                </pic:pic>
              </a:graphicData>
            </a:graphic>
          </wp:anchor>
        </w:drawing>
      </w:r>
    </w:p>
    <w:p w14:paraId="099F0E50" w14:textId="6BAA2063" w:rsidR="0049168D" w:rsidRDefault="0049168D" w:rsidP="006D516B">
      <w:pPr>
        <w:jc w:val="both"/>
      </w:pPr>
    </w:p>
    <w:p w14:paraId="09F013A1" w14:textId="5A2DB425" w:rsidR="0049168D" w:rsidRDefault="0049168D" w:rsidP="006D516B">
      <w:pPr>
        <w:jc w:val="both"/>
      </w:pPr>
    </w:p>
    <w:p w14:paraId="2664D32C" w14:textId="05060FC3" w:rsidR="0049168D" w:rsidRDefault="0049168D" w:rsidP="006D516B">
      <w:pPr>
        <w:jc w:val="both"/>
      </w:pPr>
    </w:p>
    <w:p w14:paraId="385044D1" w14:textId="7A6CD1E6" w:rsidR="0049168D" w:rsidRDefault="0049168D" w:rsidP="006D516B">
      <w:pPr>
        <w:jc w:val="both"/>
      </w:pPr>
    </w:p>
    <w:p w14:paraId="3BBD6BCD" w14:textId="6CDD6C10" w:rsidR="0049168D" w:rsidRDefault="0049168D" w:rsidP="006D516B">
      <w:pPr>
        <w:jc w:val="both"/>
      </w:pPr>
    </w:p>
    <w:p w14:paraId="0587A4CB" w14:textId="3FC9A057" w:rsidR="0049168D" w:rsidRDefault="0049168D" w:rsidP="006D516B">
      <w:pPr>
        <w:jc w:val="both"/>
      </w:pPr>
    </w:p>
    <w:p w14:paraId="351903F8" w14:textId="77777777" w:rsidR="0049168D" w:rsidRDefault="0049168D" w:rsidP="006D516B">
      <w:pPr>
        <w:jc w:val="both"/>
        <w:rPr>
          <w:rFonts w:hint="eastAsia"/>
        </w:rPr>
      </w:pPr>
    </w:p>
    <w:p w14:paraId="669BF58F" w14:textId="77777777" w:rsidR="0030403C" w:rsidRDefault="00A268F8" w:rsidP="006D516B">
      <w:pPr>
        <w:pStyle w:val="Ttulo2"/>
        <w:jc w:val="both"/>
      </w:pPr>
      <w:r>
        <w:t>Sostenibilidad</w:t>
      </w:r>
    </w:p>
    <w:p w14:paraId="0828560E" w14:textId="77777777" w:rsidR="0030403C" w:rsidRDefault="00A268F8" w:rsidP="006D516B">
      <w:pPr>
        <w:jc w:val="both"/>
        <w:rPr>
          <w:rFonts w:hint="eastAsia"/>
        </w:rPr>
      </w:pPr>
      <w:r>
        <w:t>La ampliación de la infraestructura de recarga de vehículos eléctricos y la difusión de contenidos sobre transición ecológica y objetivos climáticos europeos mantuvieron presente la sos</w:t>
      </w:r>
      <w:r>
        <w:t>tenibilidad como vector transversal del ejercicio.</w:t>
      </w:r>
    </w:p>
    <w:p w14:paraId="0E7A082B" w14:textId="77777777" w:rsidR="0030403C" w:rsidRDefault="00A268F8">
      <w:pPr>
        <w:rPr>
          <w:rFonts w:hint="eastAsia"/>
        </w:rPr>
      </w:pPr>
      <w:r>
        <w:br w:type="page"/>
      </w:r>
    </w:p>
    <w:p w14:paraId="7A980C1F" w14:textId="6D1C44C5" w:rsidR="0030403C" w:rsidRPr="006C4427" w:rsidRDefault="00A268F8">
      <w:pPr>
        <w:pStyle w:val="Ttulo1"/>
        <w:rPr>
          <w:color w:val="31849B" w:themeColor="accent5" w:themeShade="BF"/>
        </w:rPr>
      </w:pPr>
      <w:r w:rsidRPr="006C4427">
        <w:rPr>
          <w:color w:val="31849B" w:themeColor="accent5" w:themeShade="BF"/>
        </w:rPr>
        <w:lastRenderedPageBreak/>
        <w:t xml:space="preserve">12. Promoción, redes y </w:t>
      </w:r>
      <w:proofErr w:type="spellStart"/>
      <w:r w:rsidRPr="006C4427">
        <w:rPr>
          <w:color w:val="31849B" w:themeColor="accent5" w:themeShade="BF"/>
        </w:rPr>
        <w:t>posicionamiento</w:t>
      </w:r>
      <w:proofErr w:type="spellEnd"/>
      <w:r w:rsidRPr="006C4427">
        <w:rPr>
          <w:color w:val="31849B" w:themeColor="accent5" w:themeShade="BF"/>
        </w:rPr>
        <w:t xml:space="preserve"> </w:t>
      </w:r>
      <w:proofErr w:type="spellStart"/>
      <w:r w:rsidRPr="006C4427">
        <w:rPr>
          <w:color w:val="31849B" w:themeColor="accent5" w:themeShade="BF"/>
        </w:rPr>
        <w:t>institucional</w:t>
      </w:r>
      <w:proofErr w:type="spellEnd"/>
    </w:p>
    <w:p w14:paraId="70872EFB" w14:textId="77777777" w:rsidR="006D516B" w:rsidRPr="006D516B" w:rsidRDefault="006D516B" w:rsidP="006D516B"/>
    <w:p w14:paraId="3615EB70" w14:textId="77777777" w:rsidR="0030403C" w:rsidRDefault="00A268F8" w:rsidP="006D516B">
      <w:pPr>
        <w:jc w:val="both"/>
        <w:rPr>
          <w:rFonts w:hint="eastAsia"/>
        </w:rPr>
      </w:pPr>
      <w:r>
        <w:t xml:space="preserve">La presencia del PCTCLM en redes, encuentros sectoriales y visitas institucionales permitió reforzar su posicionamiento como infraestructura regional </w:t>
      </w:r>
      <w:r>
        <w:t>de innovación y dar visibilidad a sus empresas, proyectos y capacidades.</w:t>
      </w:r>
    </w:p>
    <w:p w14:paraId="01F5EA01" w14:textId="77777777" w:rsidR="0030403C" w:rsidRDefault="00A268F8" w:rsidP="006D516B">
      <w:pPr>
        <w:pStyle w:val="Ttulo2"/>
        <w:jc w:val="both"/>
      </w:pPr>
      <w:r>
        <w:t>APTE y redes de parques científicos</w:t>
      </w:r>
    </w:p>
    <w:p w14:paraId="521ED253" w14:textId="77777777" w:rsidR="0030403C" w:rsidRDefault="00A268F8" w:rsidP="006D516B">
      <w:pPr>
        <w:jc w:val="both"/>
        <w:rPr>
          <w:rFonts w:hint="eastAsia"/>
        </w:rPr>
      </w:pPr>
      <w:r>
        <w:t>La relación con la Asociación de Parques Científicos y Tecnológicos de España continuó siendo un canal relevante de cooperación, promoción y acceso</w:t>
      </w:r>
      <w:r>
        <w:t xml:space="preserve"> a iniciativas de ámbito nacional. La inclusión de infraestructuras científicas del PCTCLM en servicios de valor de APTE reforzó su proyección exterior.</w:t>
      </w:r>
    </w:p>
    <w:p w14:paraId="03778935" w14:textId="77777777" w:rsidR="0030403C" w:rsidRDefault="00A268F8" w:rsidP="006D516B">
      <w:pPr>
        <w:pStyle w:val="Ttulo2"/>
        <w:jc w:val="both"/>
      </w:pPr>
      <w:r>
        <w:t>Visitas y relaciones institucionales</w:t>
      </w:r>
    </w:p>
    <w:p w14:paraId="1BD77293" w14:textId="77777777" w:rsidR="0030403C" w:rsidRDefault="00A268F8" w:rsidP="006D516B">
      <w:pPr>
        <w:jc w:val="both"/>
        <w:rPr>
          <w:rFonts w:hint="eastAsia"/>
        </w:rPr>
      </w:pPr>
      <w:r>
        <w:t>A lo largo del año se recibieron visitas institucionales orientada</w:t>
      </w:r>
      <w:r>
        <w:t>s a conocer la evolución del Parque, las inversiones realizadas y los proyectos de futuro. Estas actuaciones facilitaron la interlocución con administraciones y agentes vinculados a la innovación, el emprendimiento y la transferencia.</w:t>
      </w:r>
    </w:p>
    <w:p w14:paraId="33532D59" w14:textId="77777777" w:rsidR="0030403C" w:rsidRDefault="00A268F8" w:rsidP="006D516B">
      <w:pPr>
        <w:pStyle w:val="Ttulo2"/>
        <w:jc w:val="both"/>
      </w:pPr>
      <w:r>
        <w:t>Proyección regional y</w:t>
      </w:r>
      <w:r>
        <w:t xml:space="preserve"> nacional</w:t>
      </w:r>
    </w:p>
    <w:p w14:paraId="18FF6ECD" w14:textId="4D3855A8" w:rsidR="0030403C" w:rsidRDefault="00A268F8" w:rsidP="006D516B">
      <w:pPr>
        <w:jc w:val="both"/>
      </w:pPr>
      <w:r>
        <w:t xml:space="preserve">TransformaCLM, los encuentros aeroespaciales, la participación en redes universitarias y los foros tecnológicos contribuyeron a proyectar el PCTCLM como un nodo regional conectado con </w:t>
      </w:r>
      <w:proofErr w:type="spellStart"/>
      <w:r>
        <w:t>iniciativas</w:t>
      </w:r>
      <w:proofErr w:type="spellEnd"/>
      <w:r>
        <w:t xml:space="preserve"> </w:t>
      </w:r>
      <w:proofErr w:type="spellStart"/>
      <w:r>
        <w:t>nacionales</w:t>
      </w:r>
      <w:proofErr w:type="spellEnd"/>
      <w:r>
        <w:t xml:space="preserve"> y </w:t>
      </w:r>
      <w:proofErr w:type="spellStart"/>
      <w:r>
        <w:t>europeas</w:t>
      </w:r>
      <w:proofErr w:type="spellEnd"/>
      <w:r>
        <w:t>.</w:t>
      </w:r>
    </w:p>
    <w:p w14:paraId="435AAF7E" w14:textId="77777777" w:rsidR="0049168D" w:rsidRPr="006C4427" w:rsidRDefault="0049168D" w:rsidP="0049168D">
      <w:pPr>
        <w:pStyle w:val="Ttulo1"/>
        <w:rPr>
          <w:color w:val="31849B" w:themeColor="accent5" w:themeShade="BF"/>
        </w:rPr>
      </w:pPr>
      <w:r w:rsidRPr="006C4427">
        <w:rPr>
          <w:color w:val="31849B" w:themeColor="accent5" w:themeShade="BF"/>
        </w:rPr>
        <w:t xml:space="preserve">13. </w:t>
      </w:r>
      <w:proofErr w:type="spellStart"/>
      <w:r w:rsidRPr="006C4427">
        <w:rPr>
          <w:color w:val="31849B" w:themeColor="accent5" w:themeShade="BF"/>
        </w:rPr>
        <w:t>Comunicación</w:t>
      </w:r>
      <w:proofErr w:type="spellEnd"/>
      <w:r w:rsidRPr="006C4427">
        <w:rPr>
          <w:color w:val="31849B" w:themeColor="accent5" w:themeShade="BF"/>
        </w:rPr>
        <w:t xml:space="preserve"> y </w:t>
      </w:r>
      <w:proofErr w:type="spellStart"/>
      <w:r w:rsidRPr="006C4427">
        <w:rPr>
          <w:color w:val="31849B" w:themeColor="accent5" w:themeShade="BF"/>
        </w:rPr>
        <w:t>difusion</w:t>
      </w:r>
      <w:proofErr w:type="spellEnd"/>
    </w:p>
    <w:p w14:paraId="090B3D15" w14:textId="77777777" w:rsidR="0049168D" w:rsidRPr="006D516B" w:rsidRDefault="0049168D" w:rsidP="0049168D"/>
    <w:p w14:paraId="0F330CF9" w14:textId="77777777" w:rsidR="0049168D" w:rsidRDefault="0049168D" w:rsidP="0049168D">
      <w:pPr>
        <w:jc w:val="both"/>
        <w:rPr>
          <w:rFonts w:hint="eastAsia"/>
        </w:rPr>
      </w:pPr>
      <w:r>
        <w:t xml:space="preserve">Durante 2025, </w:t>
      </w:r>
      <w:proofErr w:type="spellStart"/>
      <w:r>
        <w:t>el</w:t>
      </w:r>
      <w:proofErr w:type="spellEnd"/>
      <w:r>
        <w:t xml:space="preserve"> PCTCLM </w:t>
      </w:r>
      <w:proofErr w:type="spellStart"/>
      <w:r>
        <w:t>mantuvo</w:t>
      </w:r>
      <w:proofErr w:type="spellEnd"/>
      <w:r>
        <w:t xml:space="preserve"> una </w:t>
      </w:r>
      <w:proofErr w:type="spellStart"/>
      <w:r>
        <w:t>comunicación</w:t>
      </w:r>
      <w:proofErr w:type="spellEnd"/>
      <w:r>
        <w:t xml:space="preserve"> </w:t>
      </w:r>
      <w:proofErr w:type="spellStart"/>
      <w:r>
        <w:t>continuada</w:t>
      </w:r>
      <w:proofErr w:type="spellEnd"/>
      <w:r>
        <w:t xml:space="preserve"> </w:t>
      </w:r>
      <w:proofErr w:type="spellStart"/>
      <w:r>
        <w:t>mediante</w:t>
      </w:r>
      <w:proofErr w:type="spellEnd"/>
      <w:r>
        <w:t xml:space="preserve"> </w:t>
      </w:r>
      <w:proofErr w:type="spellStart"/>
      <w:r>
        <w:t>noticias</w:t>
      </w:r>
      <w:proofErr w:type="spellEnd"/>
      <w:r>
        <w:t xml:space="preserve"> </w:t>
      </w:r>
      <w:proofErr w:type="spellStart"/>
      <w:r>
        <w:t>periódicas</w:t>
      </w:r>
      <w:proofErr w:type="spellEnd"/>
      <w:r>
        <w:t xml:space="preserve"> </w:t>
      </w:r>
      <w:proofErr w:type="spellStart"/>
      <w:r>
        <w:t>en</w:t>
      </w:r>
      <w:proofErr w:type="spellEnd"/>
      <w:r>
        <w:t xml:space="preserve"> </w:t>
      </w:r>
      <w:proofErr w:type="spellStart"/>
      <w:r>
        <w:t>su</w:t>
      </w:r>
      <w:proofErr w:type="spellEnd"/>
      <w:r>
        <w:t xml:space="preserve"> </w:t>
      </w:r>
      <w:proofErr w:type="spellStart"/>
      <w:r>
        <w:t>página</w:t>
      </w:r>
      <w:proofErr w:type="spellEnd"/>
      <w:r>
        <w:t xml:space="preserve"> web y </w:t>
      </w:r>
      <w:proofErr w:type="spellStart"/>
      <w:r>
        <w:t>publicaciones</w:t>
      </w:r>
      <w:proofErr w:type="spellEnd"/>
      <w:r>
        <w:t xml:space="preserve"> </w:t>
      </w:r>
      <w:proofErr w:type="spellStart"/>
      <w:r>
        <w:t>diarias</w:t>
      </w:r>
      <w:proofErr w:type="spellEnd"/>
      <w:r>
        <w:t xml:space="preserve"> </w:t>
      </w:r>
      <w:proofErr w:type="spellStart"/>
      <w:r>
        <w:t>en</w:t>
      </w:r>
      <w:proofErr w:type="spellEnd"/>
      <w:r>
        <w:t xml:space="preserve"> redes </w:t>
      </w:r>
      <w:proofErr w:type="spellStart"/>
      <w:r>
        <w:t>sociales</w:t>
      </w:r>
      <w:proofErr w:type="spellEnd"/>
      <w:r>
        <w:t xml:space="preserve">. La </w:t>
      </w:r>
      <w:proofErr w:type="spellStart"/>
      <w:r>
        <w:t>estrategia</w:t>
      </w:r>
      <w:proofErr w:type="spellEnd"/>
      <w:r>
        <w:t xml:space="preserve"> </w:t>
      </w:r>
      <w:proofErr w:type="spellStart"/>
      <w:r>
        <w:t>combinó</w:t>
      </w:r>
      <w:proofErr w:type="spellEnd"/>
      <w:r>
        <w:t xml:space="preserve"> </w:t>
      </w:r>
      <w:proofErr w:type="spellStart"/>
      <w:r>
        <w:t>información</w:t>
      </w:r>
      <w:proofErr w:type="spellEnd"/>
      <w:r>
        <w:t xml:space="preserve"> </w:t>
      </w:r>
      <w:proofErr w:type="spellStart"/>
      <w:r>
        <w:t>propia</w:t>
      </w:r>
      <w:proofErr w:type="spellEnd"/>
      <w:r>
        <w:t xml:space="preserve"> con </w:t>
      </w:r>
      <w:proofErr w:type="spellStart"/>
      <w:r>
        <w:t>contenidos</w:t>
      </w:r>
      <w:proofErr w:type="spellEnd"/>
      <w:r>
        <w:t xml:space="preserve"> de </w:t>
      </w:r>
      <w:proofErr w:type="spellStart"/>
      <w:r>
        <w:t>utilidad</w:t>
      </w:r>
      <w:proofErr w:type="spellEnd"/>
      <w:r>
        <w:t xml:space="preserve"> para </w:t>
      </w:r>
      <w:proofErr w:type="spellStart"/>
      <w:r>
        <w:t>empresas</w:t>
      </w:r>
      <w:proofErr w:type="spellEnd"/>
      <w:r>
        <w:t xml:space="preserve">, startups, </w:t>
      </w:r>
      <w:proofErr w:type="spellStart"/>
      <w:r>
        <w:t>investigadores</w:t>
      </w:r>
      <w:proofErr w:type="spellEnd"/>
      <w:r>
        <w:t xml:space="preserve"> y </w:t>
      </w:r>
      <w:proofErr w:type="spellStart"/>
      <w:r>
        <w:t>agentes</w:t>
      </w:r>
      <w:proofErr w:type="spellEnd"/>
      <w:r>
        <w:t xml:space="preserve"> </w:t>
      </w:r>
      <w:proofErr w:type="spellStart"/>
      <w:r>
        <w:t>tecnológicos</w:t>
      </w:r>
      <w:proofErr w:type="spellEnd"/>
      <w:r>
        <w:t>.</w:t>
      </w:r>
    </w:p>
    <w:p w14:paraId="348564BB" w14:textId="77777777" w:rsidR="0049168D" w:rsidRDefault="0049168D" w:rsidP="0049168D">
      <w:pPr>
        <w:pStyle w:val="Ttulo2"/>
        <w:jc w:val="both"/>
      </w:pPr>
      <w:r>
        <w:t>Web</w:t>
      </w:r>
    </w:p>
    <w:p w14:paraId="7C761D37" w14:textId="77777777" w:rsidR="0049168D" w:rsidRDefault="0049168D" w:rsidP="0049168D">
      <w:pPr>
        <w:jc w:val="both"/>
        <w:rPr>
          <w:rFonts w:hint="eastAsia"/>
        </w:rPr>
      </w:pPr>
      <w:r>
        <w:t xml:space="preserve">La web </w:t>
      </w:r>
      <w:proofErr w:type="spellStart"/>
      <w:r>
        <w:t>actuó</w:t>
      </w:r>
      <w:proofErr w:type="spellEnd"/>
      <w:r>
        <w:t xml:space="preserve"> </w:t>
      </w:r>
      <w:proofErr w:type="spellStart"/>
      <w:r>
        <w:t>como</w:t>
      </w:r>
      <w:proofErr w:type="spellEnd"/>
      <w:r>
        <w:t xml:space="preserve"> </w:t>
      </w:r>
      <w:proofErr w:type="spellStart"/>
      <w:r>
        <w:t>escaparate</w:t>
      </w:r>
      <w:proofErr w:type="spellEnd"/>
      <w:r>
        <w:t xml:space="preserve"> </w:t>
      </w:r>
      <w:proofErr w:type="spellStart"/>
      <w:r>
        <w:t>institucional</w:t>
      </w:r>
      <w:proofErr w:type="spellEnd"/>
      <w:r>
        <w:t xml:space="preserve"> y </w:t>
      </w:r>
      <w:proofErr w:type="spellStart"/>
      <w:r>
        <w:t>como</w:t>
      </w:r>
      <w:proofErr w:type="spellEnd"/>
      <w:r>
        <w:t xml:space="preserve"> </w:t>
      </w:r>
      <w:proofErr w:type="spellStart"/>
      <w:r>
        <w:t>herramienta</w:t>
      </w:r>
      <w:proofErr w:type="spellEnd"/>
      <w:r>
        <w:t xml:space="preserve"> de </w:t>
      </w:r>
      <w:proofErr w:type="spellStart"/>
      <w:r>
        <w:t>servicio</w:t>
      </w:r>
      <w:proofErr w:type="spellEnd"/>
      <w:r>
        <w:t xml:space="preserve">. Junto a </w:t>
      </w:r>
      <w:proofErr w:type="spellStart"/>
      <w:r>
        <w:t>noticias</w:t>
      </w:r>
      <w:proofErr w:type="spellEnd"/>
      <w:r>
        <w:t xml:space="preserve"> </w:t>
      </w:r>
      <w:proofErr w:type="spellStart"/>
      <w:r>
        <w:t>sobre</w:t>
      </w:r>
      <w:proofErr w:type="spellEnd"/>
      <w:r>
        <w:t xml:space="preserve"> </w:t>
      </w:r>
      <w:proofErr w:type="spellStart"/>
      <w:r>
        <w:t>inversiones</w:t>
      </w:r>
      <w:proofErr w:type="spellEnd"/>
      <w:r>
        <w:t xml:space="preserve">, </w:t>
      </w:r>
      <w:proofErr w:type="spellStart"/>
      <w:r>
        <w:t>infraestructuras</w:t>
      </w:r>
      <w:proofErr w:type="spellEnd"/>
      <w:r>
        <w:t xml:space="preserve">, </w:t>
      </w:r>
      <w:proofErr w:type="spellStart"/>
      <w:r>
        <w:t>eventos</w:t>
      </w:r>
      <w:proofErr w:type="spellEnd"/>
      <w:r>
        <w:t xml:space="preserve"> y </w:t>
      </w:r>
      <w:proofErr w:type="spellStart"/>
      <w:r>
        <w:t>proyectos</w:t>
      </w:r>
      <w:proofErr w:type="spellEnd"/>
      <w:r>
        <w:t xml:space="preserve"> del Parque, se </w:t>
      </w:r>
      <w:proofErr w:type="spellStart"/>
      <w:r>
        <w:t>difundieron</w:t>
      </w:r>
      <w:proofErr w:type="spellEnd"/>
      <w:r>
        <w:t xml:space="preserve"> </w:t>
      </w:r>
      <w:proofErr w:type="spellStart"/>
      <w:r>
        <w:t>convocatorias</w:t>
      </w:r>
      <w:proofErr w:type="spellEnd"/>
      <w:r>
        <w:t xml:space="preserve"> de </w:t>
      </w:r>
      <w:proofErr w:type="spellStart"/>
      <w:r>
        <w:t>ayudas</w:t>
      </w:r>
      <w:proofErr w:type="spellEnd"/>
      <w:r>
        <w:t xml:space="preserve">, </w:t>
      </w:r>
      <w:proofErr w:type="spellStart"/>
      <w:r>
        <w:t>financiación</w:t>
      </w:r>
      <w:proofErr w:type="spellEnd"/>
      <w:r>
        <w:t xml:space="preserve">, </w:t>
      </w:r>
      <w:proofErr w:type="spellStart"/>
      <w:r>
        <w:t>programas</w:t>
      </w:r>
      <w:proofErr w:type="spellEnd"/>
      <w:r>
        <w:t xml:space="preserve"> de </w:t>
      </w:r>
      <w:proofErr w:type="spellStart"/>
      <w:r>
        <w:t>formación</w:t>
      </w:r>
      <w:proofErr w:type="spellEnd"/>
      <w:r>
        <w:t xml:space="preserve">, </w:t>
      </w:r>
      <w:proofErr w:type="spellStart"/>
      <w:r>
        <w:t>oportunidades</w:t>
      </w:r>
      <w:proofErr w:type="spellEnd"/>
      <w:r>
        <w:t xml:space="preserve"> de </w:t>
      </w:r>
      <w:proofErr w:type="spellStart"/>
      <w:r>
        <w:t>internacionalización</w:t>
      </w:r>
      <w:proofErr w:type="spellEnd"/>
      <w:r>
        <w:t xml:space="preserve"> y </w:t>
      </w:r>
      <w:proofErr w:type="spellStart"/>
      <w:r>
        <w:t>actualidad</w:t>
      </w:r>
      <w:proofErr w:type="spellEnd"/>
      <w:r>
        <w:t xml:space="preserve"> </w:t>
      </w:r>
      <w:proofErr w:type="spellStart"/>
      <w:r>
        <w:t>tecnológica</w:t>
      </w:r>
      <w:proofErr w:type="spellEnd"/>
      <w:r>
        <w:t>.</w:t>
      </w:r>
    </w:p>
    <w:p w14:paraId="5A4BCB87" w14:textId="77777777" w:rsidR="0049168D" w:rsidRDefault="0049168D" w:rsidP="0049168D">
      <w:pPr>
        <w:pStyle w:val="Ttulo2"/>
        <w:jc w:val="both"/>
      </w:pPr>
      <w:r>
        <w:t xml:space="preserve">Redes </w:t>
      </w:r>
      <w:proofErr w:type="spellStart"/>
      <w:r>
        <w:t>sociales</w:t>
      </w:r>
      <w:proofErr w:type="spellEnd"/>
    </w:p>
    <w:p w14:paraId="28CBE052" w14:textId="77777777" w:rsidR="0049168D" w:rsidRDefault="0049168D" w:rsidP="0049168D">
      <w:pPr>
        <w:jc w:val="both"/>
        <w:rPr>
          <w:rFonts w:hint="eastAsia"/>
        </w:rPr>
      </w:pPr>
      <w:r>
        <w:t xml:space="preserve">Facebook, LinkedIn, Instagram y X </w:t>
      </w:r>
      <w:proofErr w:type="spellStart"/>
      <w:r>
        <w:t>constituyeron</w:t>
      </w:r>
      <w:proofErr w:type="spellEnd"/>
      <w:r>
        <w:t xml:space="preserve"> </w:t>
      </w:r>
      <w:proofErr w:type="spellStart"/>
      <w:r>
        <w:t>canales</w:t>
      </w:r>
      <w:proofErr w:type="spellEnd"/>
      <w:r>
        <w:t xml:space="preserve"> de </w:t>
      </w:r>
      <w:proofErr w:type="spellStart"/>
      <w:r>
        <w:t>difusión</w:t>
      </w:r>
      <w:proofErr w:type="spellEnd"/>
      <w:r>
        <w:t xml:space="preserve"> e </w:t>
      </w:r>
      <w:proofErr w:type="spellStart"/>
      <w:r>
        <w:t>interacción</w:t>
      </w:r>
      <w:proofErr w:type="spellEnd"/>
      <w:r>
        <w:t xml:space="preserve"> con </w:t>
      </w:r>
      <w:proofErr w:type="spellStart"/>
      <w:r>
        <w:t>empresas</w:t>
      </w:r>
      <w:proofErr w:type="spellEnd"/>
      <w:r>
        <w:t xml:space="preserve">, </w:t>
      </w:r>
      <w:proofErr w:type="spellStart"/>
      <w:r>
        <w:t>instituciones</w:t>
      </w:r>
      <w:proofErr w:type="spellEnd"/>
      <w:r>
        <w:t xml:space="preserve">, </w:t>
      </w:r>
      <w:proofErr w:type="spellStart"/>
      <w:r>
        <w:t>comunidad</w:t>
      </w:r>
      <w:proofErr w:type="spellEnd"/>
      <w:r>
        <w:t xml:space="preserve"> </w:t>
      </w:r>
      <w:proofErr w:type="spellStart"/>
      <w:r>
        <w:t>científica</w:t>
      </w:r>
      <w:proofErr w:type="spellEnd"/>
      <w:r>
        <w:t xml:space="preserve"> y </w:t>
      </w:r>
      <w:proofErr w:type="spellStart"/>
      <w:r>
        <w:t>tecnológica</w:t>
      </w:r>
      <w:proofErr w:type="spellEnd"/>
      <w:r>
        <w:t xml:space="preserve"> y </w:t>
      </w:r>
      <w:proofErr w:type="spellStart"/>
      <w:r>
        <w:t>público</w:t>
      </w:r>
      <w:proofErr w:type="spellEnd"/>
      <w:r>
        <w:t xml:space="preserve"> general. La </w:t>
      </w:r>
      <w:proofErr w:type="spellStart"/>
      <w:r>
        <w:t>presencia</w:t>
      </w:r>
      <w:proofErr w:type="spellEnd"/>
      <w:r>
        <w:t xml:space="preserve"> </w:t>
      </w:r>
      <w:proofErr w:type="spellStart"/>
      <w:r>
        <w:t>continuada</w:t>
      </w:r>
      <w:proofErr w:type="spellEnd"/>
      <w:r>
        <w:t xml:space="preserve"> </w:t>
      </w:r>
      <w:proofErr w:type="spellStart"/>
      <w:r>
        <w:t>permitió</w:t>
      </w:r>
      <w:proofErr w:type="spellEnd"/>
      <w:r>
        <w:t xml:space="preserve"> </w:t>
      </w:r>
      <w:proofErr w:type="spellStart"/>
      <w:r>
        <w:t>amplificar</w:t>
      </w:r>
      <w:proofErr w:type="spellEnd"/>
      <w:r>
        <w:t xml:space="preserve"> los </w:t>
      </w:r>
      <w:proofErr w:type="spellStart"/>
      <w:r>
        <w:t>contenidos</w:t>
      </w:r>
      <w:proofErr w:type="spellEnd"/>
      <w:r>
        <w:t xml:space="preserve"> de la web y </w:t>
      </w:r>
      <w:proofErr w:type="spellStart"/>
      <w:r>
        <w:t>compartir</w:t>
      </w:r>
      <w:proofErr w:type="spellEnd"/>
      <w:r>
        <w:t xml:space="preserve"> </w:t>
      </w:r>
      <w:proofErr w:type="spellStart"/>
      <w:r>
        <w:t>información</w:t>
      </w:r>
      <w:proofErr w:type="spellEnd"/>
      <w:r>
        <w:t xml:space="preserve"> </w:t>
      </w:r>
      <w:proofErr w:type="spellStart"/>
      <w:r>
        <w:t>adicional</w:t>
      </w:r>
      <w:proofErr w:type="spellEnd"/>
      <w:r>
        <w:t xml:space="preserve"> </w:t>
      </w:r>
      <w:proofErr w:type="spellStart"/>
      <w:r>
        <w:t>vinculada</w:t>
      </w:r>
      <w:proofErr w:type="spellEnd"/>
      <w:r>
        <w:t xml:space="preserve"> al </w:t>
      </w:r>
      <w:proofErr w:type="spellStart"/>
      <w:r>
        <w:t>ecosistema</w:t>
      </w:r>
      <w:proofErr w:type="spellEnd"/>
      <w:r>
        <w:t>.</w:t>
      </w:r>
    </w:p>
    <w:p w14:paraId="3069814E" w14:textId="77777777" w:rsidR="0049168D" w:rsidRDefault="0049168D" w:rsidP="0049168D">
      <w:pPr>
        <w:pStyle w:val="Ttulo2"/>
        <w:jc w:val="both"/>
      </w:pPr>
      <w:proofErr w:type="spellStart"/>
      <w:r>
        <w:t>Ejes</w:t>
      </w:r>
      <w:proofErr w:type="spellEnd"/>
      <w:r>
        <w:t xml:space="preserve"> </w:t>
      </w:r>
      <w:proofErr w:type="spellStart"/>
      <w:r>
        <w:t>editoriales</w:t>
      </w:r>
      <w:proofErr w:type="spellEnd"/>
    </w:p>
    <w:p w14:paraId="5A926D2B" w14:textId="77777777" w:rsidR="0049168D" w:rsidRDefault="0049168D" w:rsidP="0049168D">
      <w:pPr>
        <w:jc w:val="both"/>
        <w:rPr>
          <w:rFonts w:hint="eastAsia"/>
        </w:rPr>
      </w:pPr>
      <w:r>
        <w:t xml:space="preserve">Los </w:t>
      </w:r>
      <w:proofErr w:type="spellStart"/>
      <w:r>
        <w:t>contenidos</w:t>
      </w:r>
      <w:proofErr w:type="spellEnd"/>
      <w:r>
        <w:t xml:space="preserve"> del </w:t>
      </w:r>
      <w:proofErr w:type="spellStart"/>
      <w:r>
        <w:t>año</w:t>
      </w:r>
      <w:proofErr w:type="spellEnd"/>
      <w:r>
        <w:t xml:space="preserve"> </w:t>
      </w:r>
      <w:proofErr w:type="spellStart"/>
      <w:r>
        <w:t>muestran</w:t>
      </w:r>
      <w:proofErr w:type="spellEnd"/>
      <w:r>
        <w:t xml:space="preserve"> una </w:t>
      </w:r>
      <w:proofErr w:type="spellStart"/>
      <w:r>
        <w:t>evolución</w:t>
      </w:r>
      <w:proofErr w:type="spellEnd"/>
      <w:r>
        <w:t xml:space="preserve"> </w:t>
      </w:r>
      <w:proofErr w:type="spellStart"/>
      <w:r>
        <w:t>hacia</w:t>
      </w:r>
      <w:proofErr w:type="spellEnd"/>
      <w:r>
        <w:t xml:space="preserve"> </w:t>
      </w:r>
      <w:proofErr w:type="spellStart"/>
      <w:r>
        <w:t>temas</w:t>
      </w:r>
      <w:proofErr w:type="spellEnd"/>
      <w:r>
        <w:t xml:space="preserve"> de </w:t>
      </w:r>
      <w:proofErr w:type="spellStart"/>
      <w:r>
        <w:t>carácter</w:t>
      </w:r>
      <w:proofErr w:type="spellEnd"/>
      <w:r>
        <w:t xml:space="preserve"> </w:t>
      </w:r>
      <w:proofErr w:type="spellStart"/>
      <w:r>
        <w:t>estratégico</w:t>
      </w:r>
      <w:proofErr w:type="spellEnd"/>
      <w:r>
        <w:t xml:space="preserve">: </w:t>
      </w:r>
      <w:proofErr w:type="spellStart"/>
      <w:r>
        <w:t>aeroespacio</w:t>
      </w:r>
      <w:proofErr w:type="spellEnd"/>
      <w:r>
        <w:t xml:space="preserve">, </w:t>
      </w:r>
      <w:proofErr w:type="spellStart"/>
      <w:r>
        <w:t>transferencia</w:t>
      </w:r>
      <w:proofErr w:type="spellEnd"/>
      <w:r>
        <w:t xml:space="preserve">, </w:t>
      </w:r>
      <w:proofErr w:type="spellStart"/>
      <w:r>
        <w:t>inteligencia</w:t>
      </w:r>
      <w:proofErr w:type="spellEnd"/>
      <w:r>
        <w:t xml:space="preserve"> artificial, </w:t>
      </w:r>
      <w:proofErr w:type="spellStart"/>
      <w:r>
        <w:t>computación</w:t>
      </w:r>
      <w:proofErr w:type="spellEnd"/>
      <w:r>
        <w:t xml:space="preserve"> </w:t>
      </w:r>
      <w:proofErr w:type="spellStart"/>
      <w:r>
        <w:t>cuántica</w:t>
      </w:r>
      <w:proofErr w:type="spellEnd"/>
      <w:r>
        <w:t xml:space="preserve">, </w:t>
      </w:r>
      <w:proofErr w:type="spellStart"/>
      <w:r>
        <w:t>biotecnología</w:t>
      </w:r>
      <w:proofErr w:type="spellEnd"/>
      <w:r>
        <w:t xml:space="preserve">, </w:t>
      </w:r>
      <w:proofErr w:type="spellStart"/>
      <w:r>
        <w:t>ciberseguridad</w:t>
      </w:r>
      <w:proofErr w:type="spellEnd"/>
      <w:r>
        <w:t xml:space="preserve">, </w:t>
      </w:r>
      <w:proofErr w:type="spellStart"/>
      <w:r>
        <w:t>datos</w:t>
      </w:r>
      <w:proofErr w:type="spellEnd"/>
      <w:r>
        <w:t xml:space="preserve">, </w:t>
      </w:r>
      <w:proofErr w:type="spellStart"/>
      <w:r>
        <w:t>sostenibilidad</w:t>
      </w:r>
      <w:proofErr w:type="spellEnd"/>
      <w:r>
        <w:t xml:space="preserve"> y </w:t>
      </w:r>
      <w:proofErr w:type="spellStart"/>
      <w:r>
        <w:t>crecimiento</w:t>
      </w:r>
      <w:proofErr w:type="spellEnd"/>
      <w:r>
        <w:t xml:space="preserve"> </w:t>
      </w:r>
      <w:proofErr w:type="spellStart"/>
      <w:r>
        <w:t>empresarial</w:t>
      </w:r>
      <w:proofErr w:type="spellEnd"/>
      <w:r>
        <w:t>.</w:t>
      </w:r>
    </w:p>
    <w:p w14:paraId="053AFF24" w14:textId="77777777" w:rsidR="0049168D" w:rsidRDefault="0049168D" w:rsidP="006D516B">
      <w:pPr>
        <w:jc w:val="both"/>
        <w:rPr>
          <w:rFonts w:hint="eastAsia"/>
        </w:rPr>
      </w:pPr>
    </w:p>
    <w:p w14:paraId="1A4A5C2E" w14:textId="77777777" w:rsidR="0030403C" w:rsidRDefault="00A268F8">
      <w:pPr>
        <w:rPr>
          <w:rFonts w:hint="eastAsia"/>
        </w:rPr>
      </w:pPr>
      <w:r>
        <w:br w:type="page"/>
      </w:r>
    </w:p>
    <w:p w14:paraId="2FA515E2" w14:textId="74B9708B" w:rsidR="0030403C" w:rsidRDefault="0030403C">
      <w:pPr>
        <w:rPr>
          <w:rFonts w:hint="eastAsia"/>
        </w:rPr>
      </w:pPr>
    </w:p>
    <w:p w14:paraId="6B455C03" w14:textId="10A487E4" w:rsidR="0030403C" w:rsidRPr="006C4427" w:rsidRDefault="00A268F8">
      <w:pPr>
        <w:pStyle w:val="Ttulo1"/>
        <w:rPr>
          <w:color w:val="31849B" w:themeColor="accent5" w:themeShade="BF"/>
        </w:rPr>
      </w:pPr>
      <w:r w:rsidRPr="006C4427">
        <w:rPr>
          <w:color w:val="31849B" w:themeColor="accent5" w:themeShade="BF"/>
        </w:rPr>
        <w:t>1</w:t>
      </w:r>
      <w:r w:rsidR="0049168D">
        <w:rPr>
          <w:color w:val="31849B" w:themeColor="accent5" w:themeShade="BF"/>
        </w:rPr>
        <w:t>4</w:t>
      </w:r>
      <w:r w:rsidRPr="006C4427">
        <w:rPr>
          <w:color w:val="31849B" w:themeColor="accent5" w:themeShade="BF"/>
        </w:rPr>
        <w:t xml:space="preserve">. Balance y </w:t>
      </w:r>
      <w:proofErr w:type="spellStart"/>
      <w:r w:rsidRPr="006C4427">
        <w:rPr>
          <w:color w:val="31849B" w:themeColor="accent5" w:themeShade="BF"/>
        </w:rPr>
        <w:t>proyección</w:t>
      </w:r>
      <w:proofErr w:type="spellEnd"/>
      <w:r w:rsidRPr="006C4427">
        <w:rPr>
          <w:color w:val="31849B" w:themeColor="accent5" w:themeShade="BF"/>
        </w:rPr>
        <w:t xml:space="preserve"> de </w:t>
      </w:r>
      <w:proofErr w:type="spellStart"/>
      <w:r w:rsidR="006D516B" w:rsidRPr="006C4427">
        <w:rPr>
          <w:color w:val="31849B" w:themeColor="accent5" w:themeShade="BF"/>
        </w:rPr>
        <w:t>futur</w:t>
      </w:r>
      <w:r w:rsidR="0049168D">
        <w:rPr>
          <w:color w:val="31849B" w:themeColor="accent5" w:themeShade="BF"/>
        </w:rPr>
        <w:t>o</w:t>
      </w:r>
      <w:proofErr w:type="spellEnd"/>
    </w:p>
    <w:p w14:paraId="545F4968" w14:textId="77777777" w:rsidR="006D516B" w:rsidRPr="006D516B" w:rsidRDefault="006D516B" w:rsidP="006D516B"/>
    <w:p w14:paraId="5EE7C1EB" w14:textId="77777777" w:rsidR="0030403C" w:rsidRDefault="00A268F8" w:rsidP="006D516B">
      <w:pPr>
        <w:jc w:val="both"/>
        <w:rPr>
          <w:rFonts w:hint="eastAsia"/>
        </w:rPr>
      </w:pPr>
      <w:r>
        <w:t xml:space="preserve">El ejercicio 2025 refleja un PCTCLM en fase de crecimiento y especialización. La ampliación prevista mediante un nuevo edificio responde a la evolución del ecosistema </w:t>
      </w:r>
      <w:r>
        <w:t>empresarial y a la necesidad de disponer de nuevos espacios para empresas innovadoras. Paralelamente, la mejora de infraestructuras científicas, tecnológicas y digitales refuerza la capacidad del Parque para prestar servicios de mayor valor añadido.</w:t>
      </w:r>
    </w:p>
    <w:p w14:paraId="7C0744AF" w14:textId="77777777" w:rsidR="0030403C" w:rsidRDefault="00A268F8" w:rsidP="006D516B">
      <w:pPr>
        <w:jc w:val="both"/>
        <w:rPr>
          <w:rFonts w:hint="eastAsia"/>
        </w:rPr>
      </w:pPr>
      <w:r>
        <w:t>La tra</w:t>
      </w:r>
      <w:r>
        <w:t>nsferencia de conocimiento y la colaboración con la Universidad de Castilla-La Mancha se consolidaron mediante iniciativas como COLOURS y TransformaCLM, mientras que la presencia en redes nacionales y europeas amplió las oportunidades de cooperación.</w:t>
      </w:r>
    </w:p>
    <w:p w14:paraId="3DE2F87E" w14:textId="77777777" w:rsidR="0030403C" w:rsidRDefault="00A268F8" w:rsidP="006D516B">
      <w:pPr>
        <w:jc w:val="both"/>
        <w:rPr>
          <w:rFonts w:hint="eastAsia"/>
        </w:rPr>
      </w:pPr>
      <w:r>
        <w:t>El ám</w:t>
      </w:r>
      <w:r>
        <w:t>bito aeroespacial adquirió un carácter especialmente estratégico. La participación en agendas sectoriales, el PERTE Aeroespacial, el Clúster regional y diferentes foros especializados acompañó el avance de la candidatura ESA BIC y preparó un marco de creci</w:t>
      </w:r>
      <w:r>
        <w:t>miento para los ejercicios siguientes.</w:t>
      </w:r>
    </w:p>
    <w:p w14:paraId="4763CA9F" w14:textId="77777777" w:rsidR="0030403C" w:rsidRDefault="00A268F8" w:rsidP="006D516B">
      <w:pPr>
        <w:jc w:val="both"/>
        <w:rPr>
          <w:rFonts w:hint="eastAsia"/>
        </w:rPr>
      </w:pPr>
      <w:r>
        <w:t>La comunicación institucional de 2025 permitió trasladar esta evolución a empresas, investigadores, administraciones y ciudadanía, combinando la difusión de la actividad propia con información de servicio sobre financ</w:t>
      </w:r>
      <w:r>
        <w:t>iación, innovación, formación y tendencias tecnológicas.</w:t>
      </w:r>
    </w:p>
    <w:p w14:paraId="5A610F3A" w14:textId="77777777" w:rsidR="0030403C" w:rsidRDefault="00A268F8">
      <w:pPr>
        <w:pStyle w:val="Ttulo2"/>
      </w:pPr>
      <w:r>
        <w:t>Proyección hacia 2026</w:t>
      </w:r>
    </w:p>
    <w:p w14:paraId="5891F943" w14:textId="77777777" w:rsidR="0030403C" w:rsidRDefault="00A268F8">
      <w:pPr>
        <w:pStyle w:val="Listaconvietas"/>
        <w:rPr>
          <w:rFonts w:hint="eastAsia"/>
        </w:rPr>
      </w:pPr>
      <w:r>
        <w:t>Desarrollo de la ampliación del PCTCLM y del nuevo Edificio 6.</w:t>
      </w:r>
    </w:p>
    <w:p w14:paraId="73146D55" w14:textId="77777777" w:rsidR="0030403C" w:rsidRDefault="00A268F8">
      <w:pPr>
        <w:pStyle w:val="Listaconvietas"/>
        <w:rPr>
          <w:rFonts w:hint="eastAsia"/>
        </w:rPr>
      </w:pPr>
      <w:r>
        <w:t>Continuidad de la mejora de infraestructuras y equipamiento científico y tecnológico.</w:t>
      </w:r>
    </w:p>
    <w:p w14:paraId="71B34897" w14:textId="77777777" w:rsidR="0030403C" w:rsidRDefault="00A268F8">
      <w:pPr>
        <w:pStyle w:val="Listaconvietas"/>
        <w:rPr>
          <w:rFonts w:hint="eastAsia"/>
        </w:rPr>
      </w:pPr>
      <w:r>
        <w:t>Desarrollo de la candidatura</w:t>
      </w:r>
      <w:r>
        <w:t xml:space="preserve"> ESA BIC y refuerzo del ecosistema aeroespacial regional.</w:t>
      </w:r>
    </w:p>
    <w:p w14:paraId="05F4CCA9" w14:textId="77777777" w:rsidR="0030403C" w:rsidRDefault="00A268F8">
      <w:pPr>
        <w:pStyle w:val="Listaconvietas"/>
        <w:rPr>
          <w:rFonts w:hint="eastAsia"/>
        </w:rPr>
      </w:pPr>
      <w:r>
        <w:t>Profundización en la colaboración con UCLM, empresas, centros tecnológicos y redes europeas.</w:t>
      </w:r>
    </w:p>
    <w:p w14:paraId="1B5C0FFE" w14:textId="77777777" w:rsidR="0030403C" w:rsidRDefault="00A268F8">
      <w:pPr>
        <w:pStyle w:val="Listaconvietas"/>
        <w:rPr>
          <w:rFonts w:hint="eastAsia"/>
        </w:rPr>
      </w:pPr>
      <w:r>
        <w:t>Impulso a la transferencia de conocimiento, el emprendimiento innovador y la atracción de nuevas empresas</w:t>
      </w:r>
      <w:r>
        <w:t>.</w:t>
      </w:r>
    </w:p>
    <w:p w14:paraId="35DE3746" w14:textId="51C8DFBB" w:rsidR="0030403C" w:rsidRDefault="0030403C">
      <w:pPr>
        <w:spacing w:before="480"/>
        <w:jc w:val="center"/>
        <w:rPr>
          <w:rFonts w:hint="eastAsia"/>
        </w:rPr>
      </w:pPr>
    </w:p>
    <w:sectPr w:rsidR="0030403C" w:rsidSect="00034616">
      <w:headerReference w:type="default" r:id="rId24"/>
      <w:footerReference w:type="default" r:id="rId25"/>
      <w:pgSz w:w="12240" w:h="15840"/>
      <w:pgMar w:top="1020" w:right="1191" w:bottom="96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1EEB4" w14:textId="77777777" w:rsidR="00000000" w:rsidRDefault="00A268F8">
      <w:pPr>
        <w:spacing w:after="0" w:line="240" w:lineRule="auto"/>
        <w:rPr>
          <w:rFonts w:hint="eastAsia"/>
        </w:rPr>
      </w:pPr>
      <w:r>
        <w:separator/>
      </w:r>
    </w:p>
  </w:endnote>
  <w:endnote w:type="continuationSeparator" w:id="0">
    <w:p w14:paraId="5C02B5EC" w14:textId="77777777" w:rsidR="00000000" w:rsidRDefault="00A268F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D413" w14:textId="77777777" w:rsidR="0030403C" w:rsidRDefault="00A268F8">
    <w:pPr>
      <w:pStyle w:val="Piedepgina"/>
      <w:jc w:val="center"/>
      <w:rPr>
        <w:rFonts w:hint="eastAsia"/>
      </w:rPr>
    </w:pPr>
    <w:r>
      <w:rPr>
        <w:color w:val="787878"/>
        <w:sz w:val="16"/>
      </w:rPr>
      <w:t>Fundación Parque Científico y Tecnológico de Castilla-La Mancha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57AA8" w14:textId="77777777" w:rsidR="00000000" w:rsidRDefault="00A268F8">
      <w:pPr>
        <w:spacing w:after="0" w:line="240" w:lineRule="auto"/>
        <w:rPr>
          <w:rFonts w:hint="eastAsia"/>
        </w:rPr>
      </w:pPr>
      <w:r>
        <w:separator/>
      </w:r>
    </w:p>
  </w:footnote>
  <w:footnote w:type="continuationSeparator" w:id="0">
    <w:p w14:paraId="54F9A928" w14:textId="77777777" w:rsidR="00000000" w:rsidRDefault="00A268F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57AB" w14:textId="77777777" w:rsidR="0030403C" w:rsidRDefault="00A268F8">
    <w:pPr>
      <w:pStyle w:val="Encabezado"/>
      <w:jc w:val="right"/>
      <w:rPr>
        <w:rFonts w:hint="eastAsia"/>
      </w:rPr>
    </w:pPr>
    <w:proofErr w:type="gramStart"/>
    <w:r>
      <w:rPr>
        <w:color w:val="6E6E6E"/>
        <w:sz w:val="16"/>
      </w:rPr>
      <w:t>PCTCLM  |</w:t>
    </w:r>
    <w:proofErr w:type="gramEnd"/>
    <w:r>
      <w:rPr>
        <w:color w:val="6E6E6E"/>
        <w:sz w:val="16"/>
      </w:rPr>
      <w:t xml:space="preserve">  MEMORIA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28C276A"/>
    <w:multiLevelType w:val="hybridMultilevel"/>
    <w:tmpl w:val="583447E6"/>
    <w:lvl w:ilvl="0" w:tplc="3D487E6C">
      <w:start w:val="1"/>
      <w:numFmt w:val="decimal"/>
      <w:lvlText w:val="%1."/>
      <w:lvlJc w:val="left"/>
      <w:pPr>
        <w:ind w:left="735" w:hanging="37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403C"/>
    <w:rsid w:val="00326F90"/>
    <w:rsid w:val="0049168D"/>
    <w:rsid w:val="006C4427"/>
    <w:rsid w:val="006D516B"/>
    <w:rsid w:val="007A5E8B"/>
    <w:rsid w:val="00A268F8"/>
    <w:rsid w:val="00AA1D8D"/>
    <w:rsid w:val="00B47730"/>
    <w:rsid w:val="00B5055F"/>
    <w:rsid w:val="00CB0664"/>
    <w:rsid w:val="00FC693F"/>
    <w:rsid w:val="00FE0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14:docId w14:val="38DE95AA"/>
  <w14:defaultImageDpi w14:val="300"/>
  <w15:docId w15:val="{AF56621D-9791-4A20-93F7-46AB747F2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sz w:val="21"/>
    </w:rPr>
  </w:style>
  <w:style w:type="paragraph" w:styleId="Ttulo1">
    <w:name w:val="heading 1"/>
    <w:basedOn w:val="Normal"/>
    <w:next w:val="Normal"/>
    <w:link w:val="Ttulo1Car"/>
    <w:uiPriority w:val="9"/>
    <w:qFormat/>
    <w:rsid w:val="00FC693F"/>
    <w:pPr>
      <w:keepNext/>
      <w:keepLines/>
      <w:spacing w:before="200"/>
      <w:outlineLvl w:val="0"/>
    </w:pPr>
    <w:rPr>
      <w:rFonts w:asciiTheme="majorHAnsi" w:eastAsiaTheme="majorEastAsia" w:hAnsiTheme="majorHAnsi" w:cstheme="majorBidi"/>
      <w:b/>
      <w:bCs/>
      <w:color w:val="E95A24"/>
      <w:sz w:val="38"/>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7D85"/>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7D85"/>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4A4A4A"/>
      <w:spacing w:val="5"/>
      <w:kern w:val="28"/>
      <w:sz w:val="6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16</Pages>
  <Words>3187</Words>
  <Characters>17532</Characters>
  <DocSecurity>0</DocSecurity>
  <Lines>146</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Memoria de Actividades 2025 - PCTCLM</vt:lpstr>
      <vt:lpstr/>
    </vt:vector>
  </TitlesOfParts>
  <Manager/>
  <Company/>
  <LinksUpToDate>false</LinksUpToDate>
  <CharactersWithSpaces>20678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2026-09-23T10:52:00Z</dcterms:created>
  <dcterms:modified xsi:type="dcterms:W3CDTF">2026-09-23T11:36:00Z</dcterms:modified>
  <cp:category/>
</cp:coreProperties>
</file>